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5CCC" w14:textId="77777777" w:rsidR="001B5C69" w:rsidRDefault="001B5C69" w:rsidP="009549F5">
      <w:pPr>
        <w:pStyle w:val="Corpodetexto"/>
        <w:spacing w:line="276" w:lineRule="auto"/>
        <w:jc w:val="center"/>
        <w:rPr>
          <w:rFonts w:ascii="Arial" w:eastAsia="Arial" w:hAnsi="Arial" w:cs="Arial"/>
          <w:b/>
          <w:bCs/>
          <w:color w:val="000000" w:themeColor="text1"/>
          <w:sz w:val="22"/>
          <w:szCs w:val="22"/>
        </w:rPr>
      </w:pPr>
      <w:r>
        <w:rPr>
          <w:rFonts w:ascii="Arial" w:eastAsia="Arial" w:hAnsi="Arial" w:cs="Arial"/>
          <w:b/>
          <w:bCs/>
          <w:color w:val="000000" w:themeColor="text1"/>
          <w:sz w:val="22"/>
          <w:szCs w:val="22"/>
        </w:rPr>
        <w:t>ODOYÁ TRANSMISSORA DE ENERGIA S.A.</w:t>
      </w:r>
    </w:p>
    <w:p w14:paraId="105BE6CA" w14:textId="77777777" w:rsidR="001B5C69" w:rsidRPr="00E21C85" w:rsidRDefault="001B5C69" w:rsidP="009549F5">
      <w:pPr>
        <w:pStyle w:val="Corpodetexto"/>
        <w:spacing w:line="276" w:lineRule="auto"/>
        <w:jc w:val="center"/>
        <w:rPr>
          <w:rFonts w:ascii="Arial" w:eastAsia="Arial" w:hAnsi="Arial" w:cs="Arial"/>
          <w:sz w:val="22"/>
          <w:szCs w:val="22"/>
        </w:rPr>
      </w:pPr>
      <w:r w:rsidRPr="00E21C85">
        <w:rPr>
          <w:rFonts w:ascii="Arial" w:eastAsia="Arial" w:hAnsi="Arial" w:cs="Arial"/>
          <w:sz w:val="22"/>
          <w:szCs w:val="22"/>
        </w:rPr>
        <w:t xml:space="preserve">CNPJ nº </w:t>
      </w:r>
      <w:r w:rsidRPr="00E21C85">
        <w:rPr>
          <w:rFonts w:ascii="Arial" w:eastAsia="Arial" w:hAnsi="Arial" w:cs="Arial"/>
          <w:color w:val="000000" w:themeColor="text1"/>
          <w:sz w:val="22"/>
          <w:szCs w:val="22"/>
        </w:rPr>
        <w:t>20.514.590/0001-88</w:t>
      </w:r>
    </w:p>
    <w:p w14:paraId="30B17D58" w14:textId="66216B2A" w:rsidR="001B5C69" w:rsidRDefault="001B5C69" w:rsidP="009549F5">
      <w:pPr>
        <w:pStyle w:val="Corpodetexto"/>
        <w:spacing w:line="276" w:lineRule="auto"/>
        <w:jc w:val="center"/>
        <w:rPr>
          <w:rFonts w:ascii="Arial" w:eastAsia="Arial" w:hAnsi="Arial" w:cs="Arial"/>
          <w:sz w:val="22"/>
          <w:szCs w:val="22"/>
        </w:rPr>
      </w:pPr>
      <w:r w:rsidRPr="00E21C85">
        <w:rPr>
          <w:rFonts w:ascii="Arial" w:eastAsia="Arial" w:hAnsi="Arial" w:cs="Arial"/>
          <w:sz w:val="22"/>
          <w:szCs w:val="22"/>
        </w:rPr>
        <w:t xml:space="preserve">NIRE </w:t>
      </w:r>
      <w:r w:rsidRPr="00E60053">
        <w:rPr>
          <w:rFonts w:ascii="Arial" w:eastAsia="Arial" w:hAnsi="Arial" w:cs="Arial"/>
          <w:sz w:val="22"/>
          <w:szCs w:val="22"/>
        </w:rPr>
        <w:t>35300540972</w:t>
      </w:r>
    </w:p>
    <w:p w14:paraId="2B19242C" w14:textId="77777777" w:rsidR="001B5C69" w:rsidRPr="001B5C69" w:rsidRDefault="001B5C69" w:rsidP="009549F5">
      <w:pPr>
        <w:spacing w:line="276" w:lineRule="auto"/>
      </w:pPr>
    </w:p>
    <w:p w14:paraId="1A437A0C" w14:textId="77777777" w:rsidR="00AA21EF" w:rsidRDefault="00AA21EF" w:rsidP="009549F5">
      <w:pPr>
        <w:spacing w:line="276" w:lineRule="auto"/>
        <w:jc w:val="center"/>
        <w:rPr>
          <w:rFonts w:eastAsia="Times New Roman"/>
          <w:b/>
        </w:rPr>
      </w:pPr>
      <w:r>
        <w:rPr>
          <w:rFonts w:eastAsia="Times New Roman"/>
          <w:b/>
        </w:rPr>
        <w:t>INSTRUÇÃO DE VOTO A DISTÂNCIA</w:t>
      </w:r>
    </w:p>
    <w:p w14:paraId="29ADCFAA" w14:textId="27AC6AF1" w:rsidR="00AA21EF" w:rsidRDefault="00AA21EF" w:rsidP="009549F5">
      <w:pPr>
        <w:spacing w:line="276" w:lineRule="auto"/>
        <w:jc w:val="center"/>
        <w:rPr>
          <w:b/>
          <w:smallCaps/>
        </w:rPr>
      </w:pPr>
    </w:p>
    <w:p w14:paraId="1C8F60BE" w14:textId="77777777" w:rsidR="009549F5" w:rsidRDefault="009549F5" w:rsidP="009549F5">
      <w:pPr>
        <w:spacing w:line="276" w:lineRule="auto"/>
        <w:jc w:val="center"/>
        <w:rPr>
          <w:b/>
          <w:smallCaps/>
        </w:rPr>
      </w:pPr>
    </w:p>
    <w:p w14:paraId="21E94D12" w14:textId="5AE93D12" w:rsidR="00AA21EF" w:rsidRDefault="00AA21EF" w:rsidP="009549F5">
      <w:pPr>
        <w:spacing w:line="276" w:lineRule="auto"/>
        <w:rPr>
          <w:rFonts w:eastAsia="Arial"/>
          <w:b/>
          <w:bCs/>
        </w:rPr>
      </w:pPr>
      <w:r>
        <w:rPr>
          <w:b/>
          <w:smallCaps/>
        </w:rPr>
        <w:t xml:space="preserve">ASSEMBLEIA GERAL DOS TITULARES DE DEBÊNTURES </w:t>
      </w:r>
      <w:r w:rsidR="001B5C69">
        <w:rPr>
          <w:rFonts w:eastAsia="Arial"/>
          <w:b/>
          <w:bCs/>
        </w:rPr>
        <w:t>DA 1ª (PRIMEIRA) EMISSÃO DE DEBÊNTURES SIMPLES, NÃO CONVERSÍVEIS EM AÇÕES, DA ESPÉCIE COM GARANTIA REAL, COM GARANTIA ADICIONAL FIDEJUSSÓRIA, EM SÉRIE ÚNICA, PARA DISTRIBUIÇÃO PÚBLICA, COM ESFORÇOS RESTRITOS, DA ODOYÁ TRANSMISSORA DE ENERGIA S.A.</w:t>
      </w:r>
    </w:p>
    <w:p w14:paraId="40D8C4F7" w14:textId="60CF7BAB" w:rsidR="001B5C69" w:rsidRDefault="001B5C69" w:rsidP="009549F5">
      <w:pPr>
        <w:spacing w:line="276" w:lineRule="auto"/>
        <w:rPr>
          <w:rStyle w:val="Nmerodepgina"/>
        </w:rPr>
      </w:pPr>
    </w:p>
    <w:p w14:paraId="12C84284" w14:textId="77777777" w:rsidR="009549F5" w:rsidRDefault="009549F5" w:rsidP="009549F5">
      <w:pPr>
        <w:spacing w:line="276" w:lineRule="auto"/>
        <w:rPr>
          <w:rStyle w:val="Nmerodepgina"/>
        </w:rPr>
      </w:pPr>
    </w:p>
    <w:tbl>
      <w:tblPr>
        <w:tblStyle w:val="Tabelacomgrade"/>
        <w:tblW w:w="8505" w:type="dxa"/>
        <w:tblInd w:w="-5" w:type="dxa"/>
        <w:tblLook w:val="04A0" w:firstRow="1" w:lastRow="0" w:firstColumn="1" w:lastColumn="0" w:noHBand="0" w:noVBand="1"/>
      </w:tblPr>
      <w:tblGrid>
        <w:gridCol w:w="4820"/>
        <w:gridCol w:w="3685"/>
      </w:tblGrid>
      <w:tr w:rsidR="00AA21EF" w14:paraId="5B3ECBD5" w14:textId="77777777" w:rsidTr="00AA21EF">
        <w:tc>
          <w:tcPr>
            <w:tcW w:w="4820" w:type="dxa"/>
          </w:tcPr>
          <w:p w14:paraId="0E3E6EE7" w14:textId="77777777" w:rsidR="00AA21EF" w:rsidRDefault="00AA21EF" w:rsidP="009549F5">
            <w:pPr>
              <w:spacing w:line="276" w:lineRule="auto"/>
              <w:rPr>
                <w:rStyle w:val="Nmerodepgina"/>
              </w:rPr>
            </w:pPr>
            <w:r>
              <w:rPr>
                <w:rStyle w:val="Nmerodepgina"/>
              </w:rPr>
              <w:t>Nome/Denominação do Debenturista (Em caso de Fundo de Investimento, deverá ser assinado pelo Gestor/Administrador (conforme pertinência) e listado, ao final, os fundos a serem representados</w:t>
            </w:r>
          </w:p>
        </w:tc>
        <w:tc>
          <w:tcPr>
            <w:tcW w:w="3685" w:type="dxa"/>
          </w:tcPr>
          <w:p w14:paraId="0C3152B6" w14:textId="77777777" w:rsidR="00AA21EF" w:rsidRDefault="00AA21EF" w:rsidP="009549F5">
            <w:pPr>
              <w:spacing w:line="276" w:lineRule="auto"/>
              <w:rPr>
                <w:rStyle w:val="Nmerodepgina"/>
              </w:rPr>
            </w:pPr>
          </w:p>
        </w:tc>
      </w:tr>
      <w:tr w:rsidR="00AA21EF" w14:paraId="684843DF" w14:textId="77777777" w:rsidTr="00AA21EF">
        <w:tc>
          <w:tcPr>
            <w:tcW w:w="4820" w:type="dxa"/>
          </w:tcPr>
          <w:p w14:paraId="131EA1AB" w14:textId="77777777" w:rsidR="00AA21EF" w:rsidRDefault="00AA21EF" w:rsidP="009549F5">
            <w:pPr>
              <w:spacing w:line="276" w:lineRule="auto"/>
              <w:rPr>
                <w:rStyle w:val="Nmerodepgina"/>
              </w:rPr>
            </w:pPr>
            <w:r>
              <w:rPr>
                <w:rStyle w:val="Nmerodepgina"/>
              </w:rPr>
              <w:t>CPF/CNPJ do Debenturista (Em caso de Fundo de Investimento, deverá ser assinado pelo Gestor/Administrador (conforme pertinência) e listado, ao final, os fundos a serem representados</w:t>
            </w:r>
          </w:p>
        </w:tc>
        <w:tc>
          <w:tcPr>
            <w:tcW w:w="3685" w:type="dxa"/>
          </w:tcPr>
          <w:p w14:paraId="192CD731" w14:textId="77777777" w:rsidR="00AA21EF" w:rsidRDefault="00AA21EF" w:rsidP="009549F5">
            <w:pPr>
              <w:spacing w:line="276" w:lineRule="auto"/>
              <w:rPr>
                <w:rStyle w:val="Nmerodepgina"/>
              </w:rPr>
            </w:pPr>
          </w:p>
        </w:tc>
      </w:tr>
      <w:tr w:rsidR="00AA21EF" w14:paraId="34C23315" w14:textId="77777777" w:rsidTr="00AA21EF">
        <w:tc>
          <w:tcPr>
            <w:tcW w:w="4820" w:type="dxa"/>
          </w:tcPr>
          <w:p w14:paraId="3760B062" w14:textId="77777777" w:rsidR="00AA21EF" w:rsidRDefault="00AA21EF" w:rsidP="009549F5">
            <w:pPr>
              <w:spacing w:line="276" w:lineRule="auto"/>
              <w:rPr>
                <w:rStyle w:val="Nmerodepgina"/>
              </w:rPr>
            </w:pPr>
            <w:r>
              <w:rPr>
                <w:rStyle w:val="Nmerodepgina"/>
              </w:rPr>
              <w:t>E-mail do Debenturista</w:t>
            </w:r>
          </w:p>
        </w:tc>
        <w:tc>
          <w:tcPr>
            <w:tcW w:w="3685" w:type="dxa"/>
          </w:tcPr>
          <w:p w14:paraId="135B686F" w14:textId="77777777" w:rsidR="00AA21EF" w:rsidRDefault="00AA21EF" w:rsidP="009549F5">
            <w:pPr>
              <w:spacing w:line="276" w:lineRule="auto"/>
              <w:rPr>
                <w:rStyle w:val="Nmerodepgina"/>
              </w:rPr>
            </w:pPr>
          </w:p>
        </w:tc>
      </w:tr>
      <w:tr w:rsidR="00AA21EF" w14:paraId="59DFF230" w14:textId="77777777" w:rsidTr="00AA21EF">
        <w:tc>
          <w:tcPr>
            <w:tcW w:w="4820" w:type="dxa"/>
          </w:tcPr>
          <w:p w14:paraId="192E6E6B" w14:textId="77777777" w:rsidR="00AA21EF" w:rsidRDefault="00AA21EF" w:rsidP="009549F5">
            <w:pPr>
              <w:spacing w:line="276" w:lineRule="auto"/>
              <w:rPr>
                <w:rStyle w:val="Nmerodepgina"/>
              </w:rPr>
            </w:pPr>
            <w:r>
              <w:rPr>
                <w:rStyle w:val="Nmerodepgina"/>
              </w:rPr>
              <w:t>Telefones para Contato</w:t>
            </w:r>
          </w:p>
        </w:tc>
        <w:tc>
          <w:tcPr>
            <w:tcW w:w="3685" w:type="dxa"/>
          </w:tcPr>
          <w:p w14:paraId="254EC4C8" w14:textId="77777777" w:rsidR="00AA21EF" w:rsidRDefault="00AA21EF" w:rsidP="009549F5">
            <w:pPr>
              <w:spacing w:line="276" w:lineRule="auto"/>
              <w:rPr>
                <w:rStyle w:val="Nmerodepgina"/>
              </w:rPr>
            </w:pPr>
          </w:p>
        </w:tc>
      </w:tr>
    </w:tbl>
    <w:p w14:paraId="7F5B0ADA" w14:textId="437F0D8C" w:rsidR="00AA21EF" w:rsidRDefault="00AA21EF" w:rsidP="009549F5">
      <w:pPr>
        <w:spacing w:line="276" w:lineRule="auto"/>
        <w:rPr>
          <w:rStyle w:val="Nmerodepgina"/>
        </w:rPr>
      </w:pPr>
    </w:p>
    <w:p w14:paraId="7C379A5C" w14:textId="77777777" w:rsidR="009549F5" w:rsidRDefault="009549F5" w:rsidP="009549F5">
      <w:pPr>
        <w:spacing w:line="276" w:lineRule="auto"/>
        <w:rPr>
          <w:rStyle w:val="Nmerodepgina"/>
        </w:rPr>
      </w:pPr>
    </w:p>
    <w:p w14:paraId="62BC5138" w14:textId="109C8361" w:rsidR="00AA21EF" w:rsidRPr="001B5C69" w:rsidRDefault="00AA21EF" w:rsidP="009549F5">
      <w:pPr>
        <w:shd w:val="clear" w:color="auto" w:fill="FFFFFF"/>
        <w:spacing w:line="276" w:lineRule="auto"/>
        <w:rPr>
          <w:b/>
          <w:bCs/>
        </w:rPr>
      </w:pPr>
      <w:r>
        <w:rPr>
          <w:rFonts w:eastAsia="Times New Roman"/>
        </w:rPr>
        <w:t xml:space="preserve">Termos iniciados por letra maiúscula utilizados nesta instrução de voto à distância </w:t>
      </w:r>
      <w:r w:rsidRPr="001B5C69">
        <w:rPr>
          <w:rFonts w:eastAsia="Times New Roman"/>
        </w:rPr>
        <w:t>("</w:t>
      </w:r>
      <w:r w:rsidRPr="001B5C69">
        <w:rPr>
          <w:rFonts w:eastAsia="Times New Roman"/>
          <w:u w:val="single"/>
        </w:rPr>
        <w:t>Instrução de Voto</w:t>
      </w:r>
      <w:r w:rsidRPr="001B5C69">
        <w:rPr>
          <w:rFonts w:eastAsia="Times New Roman"/>
        </w:rPr>
        <w:t xml:space="preserve">") da assembleia geral dos titulares das debêntures da </w:t>
      </w:r>
      <w:r w:rsidR="001B5C69" w:rsidRPr="001B5C69">
        <w:t xml:space="preserve">1ª (primeira) emissão de debêntures simples, não conversíveis em ações, da espécie com garantia real, com garantia adicional fidejussória, em série única, para distribuição pública, com esforços restritos, da </w:t>
      </w:r>
      <w:proofErr w:type="spellStart"/>
      <w:r w:rsidR="001B5C69" w:rsidRPr="001B5C69">
        <w:t>Odoyá</w:t>
      </w:r>
      <w:proofErr w:type="spellEnd"/>
      <w:r w:rsidR="001B5C69" w:rsidRPr="001B5C69">
        <w:t xml:space="preserve"> Transmissora de Energia S.A. </w:t>
      </w:r>
      <w:r>
        <w:rPr>
          <w:rFonts w:eastAsia="Times New Roman"/>
        </w:rPr>
        <w:t>("</w:t>
      </w:r>
      <w:r>
        <w:rPr>
          <w:rFonts w:eastAsia="Times New Roman"/>
          <w:u w:val="single"/>
        </w:rPr>
        <w:t>Emissão</w:t>
      </w:r>
      <w:r>
        <w:rPr>
          <w:rFonts w:eastAsia="Times New Roman"/>
        </w:rPr>
        <w:t>" e “</w:t>
      </w:r>
      <w:r>
        <w:rPr>
          <w:rFonts w:eastAsia="Times New Roman"/>
          <w:u w:val="single"/>
        </w:rPr>
        <w:t>Emissora</w:t>
      </w:r>
      <w:r>
        <w:rPr>
          <w:rFonts w:eastAsia="Times New Roman"/>
        </w:rPr>
        <w:t>” ou “</w:t>
      </w:r>
      <w:r>
        <w:rPr>
          <w:rFonts w:eastAsia="Times New Roman"/>
          <w:u w:val="single"/>
        </w:rPr>
        <w:t>Companhia</w:t>
      </w:r>
      <w:r>
        <w:rPr>
          <w:rFonts w:eastAsia="Times New Roman"/>
        </w:rPr>
        <w:t>” respectivamente), a ser realizada</w:t>
      </w:r>
      <w:r w:rsidR="006C4F04">
        <w:rPr>
          <w:rFonts w:eastAsia="Times New Roman"/>
        </w:rPr>
        <w:t>, em primeira convocação,</w:t>
      </w:r>
      <w:r>
        <w:rPr>
          <w:rFonts w:eastAsia="Times New Roman"/>
        </w:rPr>
        <w:t xml:space="preserve"> em </w:t>
      </w:r>
      <w:r w:rsidR="001B5C69" w:rsidRPr="001B5C69">
        <w:rPr>
          <w:rFonts w:eastAsia="Arial"/>
          <w:b/>
          <w:u w:val="single"/>
        </w:rPr>
        <w:t>19 de outubro de 2022, às 11 horas</w:t>
      </w:r>
      <w:r w:rsidR="006C4F04" w:rsidRPr="003F3E05">
        <w:rPr>
          <w:rFonts w:eastAsia="Arial"/>
          <w:bCs/>
        </w:rPr>
        <w:t>, ou em segunda convocação (em data a ser definida oportunamente)</w:t>
      </w:r>
      <w:r w:rsidR="001B5C69">
        <w:rPr>
          <w:rFonts w:eastAsia="Times New Roman"/>
        </w:rPr>
        <w:t xml:space="preserve"> </w:t>
      </w:r>
      <w:r>
        <w:rPr>
          <w:rFonts w:eastAsia="Times New Roman"/>
        </w:rPr>
        <w:t>(“</w:t>
      </w:r>
      <w:r>
        <w:rPr>
          <w:rFonts w:eastAsia="Times New Roman"/>
          <w:u w:val="single"/>
        </w:rPr>
        <w:t>Assembleia Geral de Debenturistas</w:t>
      </w:r>
      <w:r>
        <w:rPr>
          <w:rFonts w:eastAsia="Times New Roman"/>
        </w:rPr>
        <w:t>”), conforme edital de convocação, a ser divulgado nos termos da Lei das Sociedades por Ações, no jornal “</w:t>
      </w:r>
      <w:r w:rsidR="000511FC" w:rsidRPr="000511FC">
        <w:rPr>
          <w:rFonts w:eastAsia="Times New Roman"/>
        </w:rPr>
        <w:t xml:space="preserve">Diário </w:t>
      </w:r>
      <w:r w:rsidR="000511FC">
        <w:rPr>
          <w:rFonts w:eastAsia="Times New Roman"/>
        </w:rPr>
        <w:t>de Notícias</w:t>
      </w:r>
      <w:r>
        <w:rPr>
          <w:rFonts w:eastAsia="Times New Roman"/>
        </w:rPr>
        <w:t>” ("</w:t>
      </w:r>
      <w:r>
        <w:rPr>
          <w:rFonts w:eastAsia="Times New Roman"/>
          <w:u w:val="single"/>
        </w:rPr>
        <w:t>Edital de Convocação</w:t>
      </w:r>
      <w:r>
        <w:rPr>
          <w:rFonts w:eastAsia="Times New Roman"/>
        </w:rPr>
        <w:t>"), que não estiverem aqui definidos têm o significado que lhes foi atribuído no Edital de Convocação e/ou no</w:t>
      </w:r>
      <w:r>
        <w:rPr>
          <w:shd w:val="clear" w:color="auto" w:fill="FFFFFF"/>
        </w:rPr>
        <w:t xml:space="preserve"> </w:t>
      </w:r>
      <w:bookmarkStart w:id="0" w:name="_Hlk114239915"/>
      <w:r w:rsidR="000511FC">
        <w:rPr>
          <w:shd w:val="clear" w:color="auto" w:fill="FFFFFF"/>
        </w:rPr>
        <w:t>“</w:t>
      </w:r>
      <w:r w:rsidR="000511FC" w:rsidRPr="000511FC">
        <w:rPr>
          <w:rFonts w:eastAsia="Arial"/>
          <w:i/>
          <w:iCs/>
        </w:rPr>
        <w:t xml:space="preserve">Instrumento Particular de Escritura da 1ª (Primeira) Emissão de Debêntures Simples, não Conversíveis em Ações, da Espécie com Garantia Real, com Garantia Adicional Fidejussória, em Série Única, para Distribuição Pública, com Esforços Restritos da </w:t>
      </w:r>
      <w:proofErr w:type="spellStart"/>
      <w:r w:rsidR="000511FC" w:rsidRPr="000511FC">
        <w:rPr>
          <w:rFonts w:eastAsia="Arial"/>
          <w:i/>
          <w:iCs/>
        </w:rPr>
        <w:t>Odoyá</w:t>
      </w:r>
      <w:proofErr w:type="spellEnd"/>
      <w:r w:rsidR="000511FC" w:rsidRPr="000511FC">
        <w:rPr>
          <w:rFonts w:eastAsia="Arial"/>
          <w:i/>
          <w:iCs/>
        </w:rPr>
        <w:t xml:space="preserve"> Transmissora de Energia S.A</w:t>
      </w:r>
      <w:r w:rsidR="000511FC" w:rsidRPr="009139C0">
        <w:rPr>
          <w:rFonts w:eastAsia="Arial"/>
        </w:rPr>
        <w:t xml:space="preserve">.”, </w:t>
      </w:r>
      <w:bookmarkEnd w:id="0"/>
      <w:r w:rsidR="000511FC" w:rsidRPr="009139C0">
        <w:rPr>
          <w:rFonts w:eastAsia="Arial"/>
        </w:rPr>
        <w:t xml:space="preserve">celebrado entre a Companhia e </w:t>
      </w:r>
      <w:r w:rsidR="000511FC">
        <w:rPr>
          <w:rFonts w:eastAsia="Arial"/>
        </w:rPr>
        <w:t>a</w:t>
      </w:r>
      <w:r w:rsidR="000511FC" w:rsidRPr="009139C0">
        <w:rPr>
          <w:rFonts w:eastAsia="Arial"/>
        </w:rPr>
        <w:t xml:space="preserve"> Oliveira Trust Distribuidora de Títulos e Valores Mobiliários S.A., instituição financeira, com sede na Cidade do Rio de Janeiro, Estado do Rio de Janeiro, na Avenida das Américas, nº 3.434, bloco 7, sala 201, CEP 22640-102, inscrita no CNPJ/ME sob o nº 36.113.876/0001-91, na qualidade de representante da comunhão dos interesses dos Debenturistas e agente fiduciário da Emissão, em </w:t>
      </w:r>
      <w:r w:rsidR="000511FC">
        <w:rPr>
          <w:rFonts w:eastAsia="Arial"/>
        </w:rPr>
        <w:t xml:space="preserve">9 </w:t>
      </w:r>
      <w:r w:rsidR="000511FC">
        <w:rPr>
          <w:rFonts w:eastAsia="Arial"/>
        </w:rPr>
        <w:lastRenderedPageBreak/>
        <w:t>de novembro de 2017</w:t>
      </w:r>
      <w:r w:rsidR="000511FC" w:rsidRPr="009139C0">
        <w:rPr>
          <w:rFonts w:eastAsia="Arial"/>
        </w:rPr>
        <w:t>, conforme alterada (“</w:t>
      </w:r>
      <w:r w:rsidR="000511FC" w:rsidRPr="009139C0">
        <w:rPr>
          <w:rFonts w:eastAsia="Arial"/>
          <w:u w:val="single"/>
        </w:rPr>
        <w:t>Escritura de Emissão</w:t>
      </w:r>
      <w:r w:rsidR="000511FC" w:rsidRPr="009139C0">
        <w:rPr>
          <w:rFonts w:eastAsia="Arial"/>
        </w:rPr>
        <w:t>” e “</w:t>
      </w:r>
      <w:r w:rsidR="000511FC" w:rsidRPr="009139C0">
        <w:rPr>
          <w:rFonts w:eastAsia="Arial"/>
          <w:u w:val="single"/>
        </w:rPr>
        <w:t>Agente Fiduciário</w:t>
      </w:r>
      <w:r w:rsidR="000511FC" w:rsidRPr="009139C0">
        <w:rPr>
          <w:rFonts w:eastAsia="Arial"/>
        </w:rPr>
        <w:t>”, respectivamente)</w:t>
      </w:r>
      <w:r>
        <w:rPr>
          <w:rFonts w:eastAsia="Times New Roman"/>
          <w:color w:val="000000"/>
        </w:rPr>
        <w:t>.</w:t>
      </w:r>
    </w:p>
    <w:p w14:paraId="6D84AD47" w14:textId="77777777" w:rsidR="00AA21EF" w:rsidRDefault="00AA21EF" w:rsidP="009549F5">
      <w:pPr>
        <w:shd w:val="clear" w:color="auto" w:fill="FFFFFF"/>
        <w:spacing w:line="276" w:lineRule="auto"/>
        <w:rPr>
          <w:rFonts w:eastAsia="Times New Roman"/>
          <w:color w:val="000000"/>
        </w:rPr>
      </w:pPr>
    </w:p>
    <w:p w14:paraId="15F87821" w14:textId="77777777" w:rsidR="00AA21EF" w:rsidRDefault="00AA21EF" w:rsidP="009549F5">
      <w:pPr>
        <w:shd w:val="clear" w:color="auto" w:fill="FFFFFF"/>
        <w:spacing w:line="276" w:lineRule="auto"/>
        <w:rPr>
          <w:rFonts w:eastAsia="Times New Roman"/>
          <w:b/>
          <w:color w:val="000000"/>
        </w:rPr>
      </w:pPr>
      <w:r>
        <w:rPr>
          <w:rFonts w:eastAsia="Times New Roman"/>
          <w:b/>
          <w:color w:val="000000"/>
        </w:rPr>
        <w:t>ORIENTAÇÕES DE PREENCHIMENTO</w:t>
      </w:r>
    </w:p>
    <w:p w14:paraId="78253CDD" w14:textId="77777777" w:rsidR="00AA21EF" w:rsidRDefault="00AA21EF" w:rsidP="009549F5">
      <w:pPr>
        <w:shd w:val="clear" w:color="auto" w:fill="FFFFFF"/>
        <w:spacing w:line="276" w:lineRule="auto"/>
        <w:rPr>
          <w:rFonts w:eastAsia="Times New Roman"/>
          <w:color w:val="000000"/>
        </w:rPr>
      </w:pPr>
    </w:p>
    <w:p w14:paraId="31E04E4E" w14:textId="77777777" w:rsidR="000B022D" w:rsidRDefault="00AA21EF" w:rsidP="009549F5">
      <w:pPr>
        <w:shd w:val="clear" w:color="auto" w:fill="FFFFFF"/>
        <w:spacing w:line="276" w:lineRule="auto"/>
        <w:rPr>
          <w:shd w:val="clear" w:color="auto" w:fill="FFFFFF"/>
        </w:rPr>
      </w:pPr>
      <w:r>
        <w:rPr>
          <w:rFonts w:eastAsia="Times New Roman"/>
          <w:color w:val="000000"/>
        </w:rPr>
        <w:t xml:space="preserve">Esta Instrução de Voto deve ser preenchida caso o Debenturista opte por exercer seu direito de voto por meio de instrução de voto à distância, nos termos da </w:t>
      </w:r>
      <w:r w:rsidR="000B022D" w:rsidRPr="009139C0">
        <w:rPr>
          <w:shd w:val="clear" w:color="auto" w:fill="FFFFFF"/>
        </w:rPr>
        <w:t>Resolução da Comissão de Valores Mobiliários ("</w:t>
      </w:r>
      <w:r w:rsidR="000B022D" w:rsidRPr="009139C0">
        <w:rPr>
          <w:u w:val="single"/>
          <w:shd w:val="clear" w:color="auto" w:fill="FFFFFF"/>
        </w:rPr>
        <w:t>CVM</w:t>
      </w:r>
      <w:r w:rsidR="000B022D" w:rsidRPr="009139C0">
        <w:rPr>
          <w:shd w:val="clear" w:color="auto" w:fill="FFFFFF"/>
        </w:rPr>
        <w:t>") nº 81, de 29 de março de 2022 ("</w:t>
      </w:r>
      <w:r w:rsidR="000B022D" w:rsidRPr="009139C0">
        <w:rPr>
          <w:u w:val="single"/>
          <w:shd w:val="clear" w:color="auto" w:fill="FFFFFF"/>
        </w:rPr>
        <w:t>Resolução 81</w:t>
      </w:r>
      <w:r w:rsidR="000B022D" w:rsidRPr="009139C0">
        <w:rPr>
          <w:shd w:val="clear" w:color="auto" w:fill="FFFFFF"/>
        </w:rPr>
        <w:t>"),</w:t>
      </w:r>
    </w:p>
    <w:p w14:paraId="07AC43E2" w14:textId="77777777" w:rsidR="000B022D" w:rsidRDefault="000B022D" w:rsidP="009549F5">
      <w:pPr>
        <w:shd w:val="clear" w:color="auto" w:fill="FFFFFF"/>
        <w:spacing w:line="276" w:lineRule="auto"/>
        <w:rPr>
          <w:shd w:val="clear" w:color="auto" w:fill="FFFFFF"/>
        </w:rPr>
      </w:pPr>
    </w:p>
    <w:p w14:paraId="69A4A50B" w14:textId="0528C222" w:rsidR="00AA21EF" w:rsidRDefault="00AA21EF" w:rsidP="009549F5">
      <w:pPr>
        <w:shd w:val="clear" w:color="auto" w:fill="FFFFFF"/>
        <w:spacing w:line="276" w:lineRule="auto"/>
        <w:rPr>
          <w:rFonts w:eastAsia="Times New Roman"/>
          <w:color w:val="000000"/>
        </w:rPr>
      </w:pPr>
      <w:r>
        <w:rPr>
          <w:rFonts w:eastAsia="Times New Roman"/>
          <w:color w:val="000000"/>
        </w:rPr>
        <w:t>Para que esta Instrução de Voto seja considerada válida e os votos aqui proferidos sejam contabilizados no quórum da Assembleia Geral de Debenturistas:</w:t>
      </w:r>
    </w:p>
    <w:p w14:paraId="6C5C76AD" w14:textId="77777777" w:rsidR="00AA21EF" w:rsidRDefault="00AA21EF" w:rsidP="009549F5">
      <w:pPr>
        <w:shd w:val="clear" w:color="auto" w:fill="FFFFFF"/>
        <w:spacing w:line="276" w:lineRule="auto"/>
        <w:rPr>
          <w:rFonts w:eastAsia="Times New Roman"/>
          <w:color w:val="000000"/>
        </w:rPr>
      </w:pPr>
    </w:p>
    <w:p w14:paraId="3241C954" w14:textId="77777777" w:rsidR="00AA21EF" w:rsidRDefault="00AA21EF" w:rsidP="009549F5">
      <w:pPr>
        <w:shd w:val="clear" w:color="auto" w:fill="FFFFFF"/>
        <w:spacing w:line="276" w:lineRule="auto"/>
        <w:rPr>
          <w:rFonts w:eastAsia="Times New Roman"/>
          <w:color w:val="000000"/>
        </w:rPr>
      </w:pPr>
      <w:r>
        <w:rPr>
          <w:rFonts w:eastAsia="Times New Roman"/>
          <w:b/>
          <w:color w:val="000000"/>
        </w:rPr>
        <w:t>(i)</w:t>
      </w:r>
      <w:r>
        <w:rPr>
          <w:rFonts w:eastAsia="Times New Roman"/>
          <w:b/>
          <w:color w:val="000000"/>
        </w:rPr>
        <w:tab/>
      </w:r>
      <w:r>
        <w:rPr>
          <w:rFonts w:eastAsia="Times New Roman"/>
          <w:color w:val="000000"/>
        </w:rPr>
        <w:t xml:space="preserve">todos os campos, incluindo a indicação do nome ou denominação social completa do Debenturista e o número do CPF/ME ou CNPJ/ME, bem como indicação de endereço eletrônico e telefone para eventuais contatos deverão ser preenchidos; </w:t>
      </w:r>
    </w:p>
    <w:p w14:paraId="20D5665F" w14:textId="77777777" w:rsidR="00AA21EF" w:rsidRDefault="00AA21EF" w:rsidP="009549F5">
      <w:pPr>
        <w:shd w:val="clear" w:color="auto" w:fill="FFFFFF"/>
        <w:spacing w:line="276" w:lineRule="auto"/>
        <w:rPr>
          <w:rFonts w:eastAsia="Times New Roman"/>
          <w:color w:val="000000"/>
        </w:rPr>
      </w:pPr>
    </w:p>
    <w:p w14:paraId="35C50F99" w14:textId="77777777" w:rsidR="00AA21EF" w:rsidRDefault="00AA21EF" w:rsidP="009549F5">
      <w:pPr>
        <w:shd w:val="clear" w:color="auto" w:fill="FFFFFF"/>
        <w:spacing w:line="276" w:lineRule="auto"/>
        <w:rPr>
          <w:rFonts w:eastAsia="Times New Roman"/>
          <w:color w:val="000000"/>
        </w:rPr>
      </w:pPr>
      <w:r>
        <w:rPr>
          <w:rFonts w:eastAsia="Times New Roman"/>
          <w:b/>
          <w:color w:val="000000"/>
        </w:rPr>
        <w:t>(</w:t>
      </w:r>
      <w:proofErr w:type="spellStart"/>
      <w:r>
        <w:rPr>
          <w:rFonts w:eastAsia="Times New Roman"/>
          <w:b/>
          <w:color w:val="000000"/>
        </w:rPr>
        <w:t>ii</w:t>
      </w:r>
      <w:proofErr w:type="spellEnd"/>
      <w:r>
        <w:rPr>
          <w:rFonts w:eastAsia="Times New Roman"/>
          <w:b/>
          <w:color w:val="000000"/>
        </w:rPr>
        <w:t>)</w:t>
      </w:r>
      <w:r>
        <w:rPr>
          <w:rFonts w:eastAsia="Times New Roman"/>
          <w:b/>
          <w:color w:val="000000"/>
        </w:rPr>
        <w:tab/>
      </w:r>
      <w:r>
        <w:rPr>
          <w:rFonts w:eastAsia="Times New Roman"/>
          <w:color w:val="000000"/>
        </w:rPr>
        <w:t xml:space="preserve">o voto deverá ser assinalado apenas em um dos campos (aprovação, rejeição ou abstenção); </w:t>
      </w:r>
    </w:p>
    <w:p w14:paraId="63F42630" w14:textId="77777777" w:rsidR="00AA21EF" w:rsidRDefault="00AA21EF" w:rsidP="009549F5">
      <w:pPr>
        <w:shd w:val="clear" w:color="auto" w:fill="FFFFFF"/>
        <w:spacing w:line="276" w:lineRule="auto"/>
        <w:rPr>
          <w:rFonts w:eastAsia="Times New Roman"/>
          <w:color w:val="000000"/>
        </w:rPr>
      </w:pPr>
    </w:p>
    <w:p w14:paraId="2869F5D3" w14:textId="77777777" w:rsidR="00AA21EF" w:rsidRDefault="00AA21EF" w:rsidP="009549F5">
      <w:pPr>
        <w:shd w:val="clear" w:color="auto" w:fill="FFFFFF"/>
        <w:spacing w:line="276" w:lineRule="auto"/>
        <w:rPr>
          <w:rFonts w:eastAsia="Times New Roman"/>
          <w:color w:val="000000"/>
        </w:rPr>
      </w:pPr>
      <w:r>
        <w:rPr>
          <w:rFonts w:eastAsia="Times New Roman"/>
          <w:b/>
          <w:color w:val="000000"/>
        </w:rPr>
        <w:t>(</w:t>
      </w:r>
      <w:proofErr w:type="spellStart"/>
      <w:r>
        <w:rPr>
          <w:rFonts w:eastAsia="Times New Roman"/>
          <w:b/>
          <w:color w:val="000000"/>
        </w:rPr>
        <w:t>iii</w:t>
      </w:r>
      <w:proofErr w:type="spellEnd"/>
      <w:r>
        <w:rPr>
          <w:rFonts w:eastAsia="Times New Roman"/>
          <w:b/>
          <w:color w:val="000000"/>
        </w:rPr>
        <w:t>)</w:t>
      </w:r>
      <w:r>
        <w:rPr>
          <w:rFonts w:eastAsia="Times New Roman"/>
          <w:b/>
          <w:color w:val="000000"/>
        </w:rPr>
        <w:tab/>
      </w:r>
      <w:r>
        <w:rPr>
          <w:rFonts w:eastAsia="Times New Roman"/>
          <w:color w:val="000000"/>
        </w:rPr>
        <w:t>ao final, o Debenturista ou seu(s) representante(s) legal(</w:t>
      </w:r>
      <w:proofErr w:type="spellStart"/>
      <w:r>
        <w:rPr>
          <w:rFonts w:eastAsia="Times New Roman"/>
          <w:color w:val="000000"/>
        </w:rPr>
        <w:t>is</w:t>
      </w:r>
      <w:proofErr w:type="spellEnd"/>
      <w:r>
        <w:rPr>
          <w:rFonts w:eastAsia="Times New Roman"/>
          <w:color w:val="000000"/>
        </w:rPr>
        <w:t>), deverá(</w:t>
      </w:r>
      <w:proofErr w:type="spellStart"/>
      <w:r>
        <w:rPr>
          <w:rFonts w:eastAsia="Times New Roman"/>
          <w:color w:val="000000"/>
        </w:rPr>
        <w:t>ão</w:t>
      </w:r>
      <w:proofErr w:type="spellEnd"/>
      <w:r>
        <w:rPr>
          <w:rFonts w:eastAsia="Times New Roman"/>
          <w:color w:val="000000"/>
        </w:rPr>
        <w:t xml:space="preserve">) assinar esta Instrução de Voto; e </w:t>
      </w:r>
    </w:p>
    <w:p w14:paraId="04087932" w14:textId="77777777" w:rsidR="00AA21EF" w:rsidRDefault="00AA21EF" w:rsidP="009549F5">
      <w:pPr>
        <w:shd w:val="clear" w:color="auto" w:fill="FFFFFF"/>
        <w:spacing w:line="276" w:lineRule="auto"/>
        <w:rPr>
          <w:rFonts w:eastAsia="Times New Roman"/>
          <w:b/>
          <w:color w:val="000000"/>
        </w:rPr>
      </w:pPr>
    </w:p>
    <w:p w14:paraId="541E28F6" w14:textId="77777777" w:rsidR="00AA21EF" w:rsidRDefault="00AA21EF" w:rsidP="009549F5">
      <w:pPr>
        <w:shd w:val="clear" w:color="auto" w:fill="FFFFFF"/>
        <w:spacing w:line="276" w:lineRule="auto"/>
        <w:rPr>
          <w:rFonts w:eastAsia="Times New Roman"/>
          <w:color w:val="000000"/>
        </w:rPr>
      </w:pPr>
      <w:r>
        <w:rPr>
          <w:rFonts w:eastAsia="Times New Roman"/>
          <w:b/>
          <w:color w:val="000000"/>
        </w:rPr>
        <w:t>(</w:t>
      </w:r>
      <w:proofErr w:type="spellStart"/>
      <w:r>
        <w:rPr>
          <w:rFonts w:eastAsia="Times New Roman"/>
          <w:b/>
          <w:color w:val="000000"/>
        </w:rPr>
        <w:t>iv</w:t>
      </w:r>
      <w:proofErr w:type="spellEnd"/>
      <w:r>
        <w:rPr>
          <w:rFonts w:eastAsia="Times New Roman"/>
          <w:b/>
          <w:color w:val="000000"/>
        </w:rPr>
        <w:t>)</w:t>
      </w:r>
      <w:r>
        <w:rPr>
          <w:rFonts w:eastAsia="Times New Roman"/>
          <w:b/>
          <w:color w:val="000000"/>
        </w:rPr>
        <w:tab/>
      </w:r>
      <w:r>
        <w:rPr>
          <w:rFonts w:eastAsia="Times New Roman"/>
          <w:color w:val="000000"/>
        </w:rPr>
        <w:t>a entrega desta Instrução de Voto deverá observar a regulamentação aplicável, assim como as orientações abaixo.</w:t>
      </w:r>
    </w:p>
    <w:p w14:paraId="24164F3E" w14:textId="77777777" w:rsidR="00AA21EF" w:rsidRDefault="00AA21EF" w:rsidP="009549F5">
      <w:pPr>
        <w:shd w:val="clear" w:color="auto" w:fill="FFFFFF"/>
        <w:spacing w:line="276" w:lineRule="auto"/>
        <w:rPr>
          <w:rFonts w:eastAsia="Times New Roman"/>
          <w:color w:val="000000"/>
        </w:rPr>
      </w:pPr>
    </w:p>
    <w:p w14:paraId="06EACA41" w14:textId="77777777" w:rsidR="00AA21EF" w:rsidRDefault="00AA21EF" w:rsidP="009549F5">
      <w:pPr>
        <w:shd w:val="clear" w:color="auto" w:fill="FFFFFF"/>
        <w:spacing w:line="276" w:lineRule="auto"/>
        <w:rPr>
          <w:rFonts w:eastAsia="Times New Roman"/>
          <w:b/>
          <w:color w:val="000000"/>
        </w:rPr>
      </w:pPr>
      <w:r>
        <w:rPr>
          <w:rFonts w:eastAsia="Times New Roman"/>
          <w:b/>
          <w:color w:val="000000"/>
        </w:rPr>
        <w:t>ORIENTAÇÕES DE ENVIO DA INSTRUÇÃO DE VOTO</w:t>
      </w:r>
    </w:p>
    <w:p w14:paraId="785DD316" w14:textId="77777777" w:rsidR="00AA21EF" w:rsidRDefault="00AA21EF" w:rsidP="009549F5">
      <w:pPr>
        <w:shd w:val="clear" w:color="auto" w:fill="FFFFFF"/>
        <w:spacing w:line="276" w:lineRule="auto"/>
        <w:rPr>
          <w:rFonts w:eastAsia="Times New Roman"/>
          <w:color w:val="000000"/>
        </w:rPr>
      </w:pPr>
    </w:p>
    <w:p w14:paraId="4277EB07" w14:textId="77777777" w:rsidR="00AA21EF" w:rsidRDefault="00AA21EF" w:rsidP="009549F5">
      <w:pPr>
        <w:shd w:val="clear" w:color="auto" w:fill="FFFFFF"/>
        <w:spacing w:line="276" w:lineRule="auto"/>
        <w:rPr>
          <w:rFonts w:eastAsia="Times New Roman"/>
          <w:color w:val="000000"/>
        </w:rPr>
      </w:pPr>
      <w:r>
        <w:rPr>
          <w:rFonts w:eastAsia="Times New Roman"/>
          <w:color w:val="000000"/>
        </w:rPr>
        <w:t>O Debenturista que optar por exercer o seu direito de voto à distância deverá preencher e enviar a presente Instrução de Voto em conjunto com os documentos elencados no Edital de Convocação, sendo que a Instrução de Voto deverá ser devidamente preenchida, rubricada e assinada,</w:t>
      </w:r>
      <w:r w:rsidRPr="00B94CE8">
        <w:rPr>
          <w:shd w:val="clear" w:color="auto" w:fill="FFFFFF"/>
        </w:rPr>
        <w:t xml:space="preserve"> </w:t>
      </w:r>
      <w:r w:rsidRPr="002B6144">
        <w:rPr>
          <w:shd w:val="clear" w:color="auto" w:fill="FFFFFF"/>
        </w:rPr>
        <w:t>sendo aceita a assinatura através de plataforma digital</w:t>
      </w:r>
      <w:r>
        <w:rPr>
          <w:rFonts w:eastAsia="Times New Roman"/>
          <w:color w:val="000000"/>
        </w:rPr>
        <w:t xml:space="preserve">. Não será exigido o reconhecimento de firma de assinaturas, </w:t>
      </w:r>
      <w:proofErr w:type="spellStart"/>
      <w:r>
        <w:rPr>
          <w:rFonts w:eastAsia="Times New Roman"/>
          <w:color w:val="000000"/>
        </w:rPr>
        <w:t>notarização</w:t>
      </w:r>
      <w:proofErr w:type="spellEnd"/>
      <w:r>
        <w:rPr>
          <w:rFonts w:eastAsia="Times New Roman"/>
          <w:color w:val="000000"/>
        </w:rPr>
        <w:t xml:space="preserve"> ou consularização na Instrução de Voto, contudo, será necessário o envio </w:t>
      </w:r>
      <w:r>
        <w:t>de cópia do documento de identidade do(s) signatários(as)</w:t>
      </w:r>
      <w:r>
        <w:rPr>
          <w:rFonts w:eastAsia="Times New Roman"/>
          <w:color w:val="000000"/>
        </w:rPr>
        <w:t>.</w:t>
      </w:r>
    </w:p>
    <w:p w14:paraId="0D804516" w14:textId="77777777" w:rsidR="00AA21EF" w:rsidRDefault="00AA21EF" w:rsidP="009549F5">
      <w:pPr>
        <w:shd w:val="clear" w:color="auto" w:fill="FFFFFF"/>
        <w:spacing w:line="276" w:lineRule="auto"/>
        <w:rPr>
          <w:rFonts w:eastAsia="Times New Roman"/>
          <w:color w:val="000000"/>
        </w:rPr>
      </w:pPr>
    </w:p>
    <w:p w14:paraId="0CE712CB" w14:textId="77777777" w:rsidR="00AA21EF" w:rsidRDefault="00AA21EF" w:rsidP="009549F5">
      <w:pPr>
        <w:shd w:val="clear" w:color="auto" w:fill="FFFFFF"/>
        <w:spacing w:line="276" w:lineRule="auto"/>
        <w:rPr>
          <w:rFonts w:eastAsia="Times New Roman"/>
          <w:color w:val="000000"/>
        </w:rPr>
      </w:pPr>
      <w:r>
        <w:rPr>
          <w:rFonts w:eastAsia="Times New Roman"/>
          <w:color w:val="000000"/>
        </w:rPr>
        <w:t>Conforme previsto no Edital de Convocação, o envio da Instrução de Voto deverá ser realizado em até 2 (dois) dias antes da realização da Assembleia Geral de Debenturistas,</w:t>
      </w:r>
      <w:r w:rsidRPr="004B457E">
        <w:rPr>
          <w:rFonts w:eastAsia="Times New Roman"/>
          <w:color w:val="000000"/>
        </w:rPr>
        <w:t xml:space="preserve"> </w:t>
      </w:r>
      <w:r>
        <w:rPr>
          <w:rFonts w:eastAsia="Times New Roman"/>
          <w:color w:val="000000"/>
        </w:rPr>
        <w:t xml:space="preserve">preferencialmente. </w:t>
      </w:r>
    </w:p>
    <w:p w14:paraId="17C8B942" w14:textId="77777777" w:rsidR="00AA21EF" w:rsidRDefault="00AA21EF" w:rsidP="009549F5">
      <w:pPr>
        <w:shd w:val="clear" w:color="auto" w:fill="FFFFFF"/>
        <w:spacing w:line="276" w:lineRule="auto"/>
        <w:rPr>
          <w:rFonts w:eastAsia="Times New Roman"/>
          <w:color w:val="000000"/>
        </w:rPr>
      </w:pPr>
    </w:p>
    <w:p w14:paraId="0A77E5B5" w14:textId="787DE4D7" w:rsidR="00AA21EF" w:rsidRDefault="00AA21EF" w:rsidP="009549F5">
      <w:pPr>
        <w:shd w:val="clear" w:color="auto" w:fill="FFFFFF"/>
        <w:spacing w:line="276" w:lineRule="auto"/>
        <w:rPr>
          <w:rFonts w:eastAsia="Times New Roman"/>
          <w:color w:val="000000"/>
        </w:rPr>
      </w:pPr>
      <w:r>
        <w:rPr>
          <w:rFonts w:eastAsia="Times New Roman"/>
          <w:color w:val="000000"/>
        </w:rPr>
        <w:t xml:space="preserve">Caso a Emissora e o Agente Fiduciário recebam mais de uma Instrução de Voto do mesmo Debenturista, será considerada, para fins de contagem de votos na Assembleia Geral de Debenturistas, a Instrução de Voto mais recente enviada por tal Debenturista, podendo a Instrução de Voto ser encaminhada até o horário de início da assembleia, juntamente com os documentos listados no Edital de Convocação, aos cuidados da Emissora, para o e-mail </w:t>
      </w:r>
      <w:r w:rsidR="000B022D" w:rsidRPr="005677F1">
        <w:rPr>
          <w:bCs/>
          <w:shd w:val="clear" w:color="auto" w:fill="FFFFFF"/>
        </w:rPr>
        <w:t>ri.odoya@quantumbrt.com</w:t>
      </w:r>
      <w:r w:rsidR="000B022D">
        <w:rPr>
          <w:rFonts w:eastAsia="Times New Roman"/>
          <w:color w:val="000000"/>
        </w:rPr>
        <w:t xml:space="preserve"> </w:t>
      </w:r>
      <w:r>
        <w:rPr>
          <w:rFonts w:eastAsia="Times New Roman"/>
          <w:color w:val="000000"/>
        </w:rPr>
        <w:t xml:space="preserve">e ao Agente Fiduciário, para o e-mail </w:t>
      </w:r>
      <w:r w:rsidR="000B022D">
        <w:rPr>
          <w:shd w:val="clear" w:color="auto" w:fill="FFFFFF"/>
        </w:rPr>
        <w:t>af.assembleias@oliveiratrust.com.br</w:t>
      </w:r>
      <w:r>
        <w:rPr>
          <w:rFonts w:eastAsia="Times New Roman"/>
          <w:color w:val="000000"/>
        </w:rPr>
        <w:t>.</w:t>
      </w:r>
    </w:p>
    <w:p w14:paraId="34B4043B" w14:textId="77777777" w:rsidR="00AA21EF" w:rsidRDefault="00AA21EF" w:rsidP="009549F5">
      <w:pPr>
        <w:shd w:val="clear" w:color="auto" w:fill="FFFFFF"/>
        <w:spacing w:line="276" w:lineRule="auto"/>
        <w:rPr>
          <w:rFonts w:eastAsia="Times New Roman"/>
          <w:color w:val="000000"/>
        </w:rPr>
      </w:pPr>
    </w:p>
    <w:p w14:paraId="79131D1A" w14:textId="77777777" w:rsidR="00AA21EF" w:rsidRDefault="00AA21EF" w:rsidP="009549F5">
      <w:pPr>
        <w:shd w:val="clear" w:color="auto" w:fill="FFFFFF"/>
        <w:spacing w:line="276" w:lineRule="auto"/>
        <w:rPr>
          <w:rFonts w:eastAsia="Times New Roman"/>
          <w:color w:val="000000"/>
        </w:rPr>
      </w:pPr>
      <w:r>
        <w:rPr>
          <w:rFonts w:eastAsia="Times New Roman"/>
          <w:color w:val="000000"/>
        </w:rPr>
        <w:lastRenderedPageBreak/>
        <w:t>A Instrução de Voto e os documentos que a acompanham deverão observar o formato PDF e o limite de até 20 MB para envio dos anexos.</w:t>
      </w:r>
    </w:p>
    <w:p w14:paraId="6D506E32" w14:textId="77777777" w:rsidR="00AA21EF" w:rsidRDefault="00AA21EF" w:rsidP="009549F5">
      <w:pPr>
        <w:shd w:val="clear" w:color="auto" w:fill="FFFFFF"/>
        <w:spacing w:line="276" w:lineRule="auto"/>
        <w:rPr>
          <w:rFonts w:eastAsia="Times New Roman"/>
          <w:color w:val="000000"/>
        </w:rPr>
      </w:pPr>
    </w:p>
    <w:p w14:paraId="41A068D4" w14:textId="77777777" w:rsidR="00AA21EF" w:rsidRDefault="00AA21EF" w:rsidP="009549F5">
      <w:pPr>
        <w:shd w:val="clear" w:color="auto" w:fill="FFFFFF"/>
        <w:spacing w:line="276" w:lineRule="auto"/>
        <w:rPr>
          <w:rFonts w:eastAsia="Times New Roman"/>
          <w:color w:val="000000"/>
        </w:rPr>
      </w:pPr>
      <w:r>
        <w:rPr>
          <w:rFonts w:eastAsia="Times New Roman"/>
          <w:color w:val="000000"/>
        </w:rPr>
        <w:t xml:space="preserve">A efetiva data de recebimento do voto será a data de recebimento, pela Emissora ou Agente Fiduciário, da Instrução de Voto e de todos os documentos que a acompanham, em formato eletrônico, conforme indicado acima. </w:t>
      </w:r>
    </w:p>
    <w:p w14:paraId="41E25FD0" w14:textId="77777777" w:rsidR="00AA21EF" w:rsidRDefault="00AA21EF" w:rsidP="009549F5">
      <w:pPr>
        <w:shd w:val="clear" w:color="auto" w:fill="FFFFFF"/>
        <w:spacing w:line="276" w:lineRule="auto"/>
        <w:rPr>
          <w:rFonts w:eastAsia="Times New Roman"/>
          <w:color w:val="000000"/>
        </w:rPr>
      </w:pPr>
    </w:p>
    <w:p w14:paraId="24827D64" w14:textId="19553A50" w:rsidR="00AA21EF" w:rsidRDefault="00AA21EF" w:rsidP="009549F5">
      <w:pPr>
        <w:shd w:val="clear" w:color="auto" w:fill="FFFFFF"/>
        <w:spacing w:line="276" w:lineRule="auto"/>
        <w:rPr>
          <w:rFonts w:eastAsia="Times New Roman"/>
          <w:color w:val="000000"/>
        </w:rPr>
      </w:pPr>
      <w:r>
        <w:rPr>
          <w:rFonts w:eastAsia="Times New Roman"/>
          <w:color w:val="000000"/>
        </w:rPr>
        <w:t xml:space="preserve">Será desconsiderada a Instrução de Voto anteriormente enviada por tal Debenturista ou por seu representante legal, caso este manifeste seu voto no ato de realização da Assembleia Geral de Debenturistas, conforme disposto no artigo </w:t>
      </w:r>
      <w:r w:rsidR="002A06E6">
        <w:rPr>
          <w:rFonts w:eastAsia="Times New Roman"/>
          <w:color w:val="000000"/>
        </w:rPr>
        <w:t>75</w:t>
      </w:r>
      <w:r>
        <w:rPr>
          <w:rFonts w:eastAsia="Times New Roman"/>
          <w:color w:val="000000"/>
        </w:rPr>
        <w:t xml:space="preserve">, § </w:t>
      </w:r>
      <w:r w:rsidR="002A06E6">
        <w:rPr>
          <w:rFonts w:eastAsia="Times New Roman"/>
          <w:color w:val="000000"/>
        </w:rPr>
        <w:t>1º da Resolução 81</w:t>
      </w:r>
      <w:r>
        <w:rPr>
          <w:rFonts w:eastAsia="Times New Roman"/>
          <w:color w:val="000000"/>
        </w:rPr>
        <w:t xml:space="preserve">. </w:t>
      </w:r>
    </w:p>
    <w:p w14:paraId="3D111C1A" w14:textId="77777777" w:rsidR="00AA21EF" w:rsidRDefault="00AA21EF" w:rsidP="009549F5">
      <w:pPr>
        <w:shd w:val="clear" w:color="auto" w:fill="FFFFFF"/>
        <w:spacing w:line="276" w:lineRule="auto"/>
        <w:rPr>
          <w:rFonts w:eastAsia="Times New Roman"/>
          <w:color w:val="000000"/>
        </w:rPr>
      </w:pPr>
    </w:p>
    <w:p w14:paraId="546FE2D1" w14:textId="77777777" w:rsidR="00AA21EF" w:rsidRDefault="00AA21EF" w:rsidP="009549F5">
      <w:pPr>
        <w:shd w:val="clear" w:color="auto" w:fill="FFFFFF"/>
        <w:spacing w:line="276" w:lineRule="auto"/>
        <w:rPr>
          <w:rFonts w:eastAsia="Times New Roman"/>
          <w:color w:val="000000"/>
        </w:rPr>
      </w:pPr>
      <w:r>
        <w:rPr>
          <w:rFonts w:eastAsia="Times New Roman"/>
          <w:color w:val="000000"/>
        </w:rPr>
        <w:t>A Emissora e o Agente Fiduciário colocam-se à disposição para prestar quaisquer esclarecimentos adicionais que se façam necessários.</w:t>
      </w:r>
    </w:p>
    <w:p w14:paraId="635D4FCE" w14:textId="77777777" w:rsidR="00AA21EF" w:rsidRDefault="00AA21EF" w:rsidP="009549F5">
      <w:pPr>
        <w:shd w:val="clear" w:color="auto" w:fill="FFFFFF"/>
        <w:spacing w:line="276" w:lineRule="auto"/>
        <w:rPr>
          <w:rFonts w:eastAsia="Times New Roman"/>
          <w:color w:val="000000"/>
        </w:rPr>
      </w:pPr>
    </w:p>
    <w:p w14:paraId="0DCB708C" w14:textId="77777777" w:rsidR="00AA21EF" w:rsidRDefault="00AA21EF" w:rsidP="009549F5">
      <w:pPr>
        <w:shd w:val="clear" w:color="auto" w:fill="FFFFFF"/>
        <w:spacing w:line="276" w:lineRule="auto"/>
        <w:rPr>
          <w:rFonts w:eastAsia="Times New Roman"/>
          <w:b/>
          <w:color w:val="000000"/>
        </w:rPr>
      </w:pPr>
      <w:r>
        <w:rPr>
          <w:rFonts w:eastAsia="Times New Roman"/>
          <w:b/>
          <w:color w:val="000000"/>
        </w:rPr>
        <w:t>DELIBERAÇÕES</w:t>
      </w:r>
    </w:p>
    <w:p w14:paraId="50A9751D" w14:textId="77777777" w:rsidR="00AA21EF" w:rsidRDefault="00AA21EF" w:rsidP="009549F5">
      <w:pPr>
        <w:shd w:val="clear" w:color="auto" w:fill="FFFFFF"/>
        <w:spacing w:line="276" w:lineRule="auto"/>
        <w:rPr>
          <w:rFonts w:eastAsia="Times New Roman"/>
          <w:color w:val="000000"/>
        </w:rPr>
      </w:pPr>
    </w:p>
    <w:p w14:paraId="0FFEB39A" w14:textId="77777777" w:rsidR="00AA21EF" w:rsidRDefault="00AA21EF" w:rsidP="009549F5">
      <w:pPr>
        <w:shd w:val="clear" w:color="auto" w:fill="FFFFFF"/>
        <w:spacing w:line="276" w:lineRule="auto"/>
        <w:rPr>
          <w:rFonts w:eastAsia="Times New Roman"/>
          <w:b/>
          <w:color w:val="000000"/>
        </w:rPr>
      </w:pPr>
      <w:r>
        <w:rPr>
          <w:rFonts w:eastAsia="Times New Roman"/>
          <w:b/>
          <w:color w:val="000000"/>
        </w:rPr>
        <w:t>MANIFESTAÇÃO DE VOTO:</w:t>
      </w:r>
    </w:p>
    <w:p w14:paraId="393CDB29" w14:textId="77777777" w:rsidR="00AA21EF" w:rsidRDefault="00AA21EF" w:rsidP="009549F5">
      <w:pPr>
        <w:shd w:val="clear" w:color="auto" w:fill="FFFFFF"/>
        <w:spacing w:line="276" w:lineRule="auto"/>
        <w:rPr>
          <w:rFonts w:eastAsia="Times New Roman"/>
          <w:b/>
          <w:color w:val="000000"/>
        </w:rPr>
      </w:pPr>
    </w:p>
    <w:p w14:paraId="6EB080EB" w14:textId="1D58EC4E" w:rsidR="00AA21EF" w:rsidRDefault="00AA21EF" w:rsidP="009549F5">
      <w:pPr>
        <w:shd w:val="clear" w:color="auto" w:fill="FFFFFF"/>
        <w:spacing w:line="276" w:lineRule="auto"/>
        <w:rPr>
          <w:rFonts w:eastAsia="Times New Roman"/>
          <w:b/>
          <w:color w:val="000000"/>
        </w:rPr>
      </w:pPr>
      <w:r>
        <w:rPr>
          <w:rStyle w:val="Nmerodepgina"/>
          <w:iCs/>
        </w:rPr>
        <w:t xml:space="preserve">A Ordem do Dia da </w:t>
      </w:r>
      <w:r>
        <w:rPr>
          <w:rFonts w:eastAsia="Times New Roman"/>
          <w:color w:val="000000"/>
        </w:rPr>
        <w:t>Assembleia Geral de Debenturistas</w:t>
      </w:r>
      <w:r>
        <w:rPr>
          <w:rStyle w:val="Nmerodepgina"/>
          <w:iCs/>
        </w:rPr>
        <w:t xml:space="preserve"> </w:t>
      </w:r>
      <w:r>
        <w:rPr>
          <w:color w:val="000000"/>
        </w:rPr>
        <w:t>é</w:t>
      </w:r>
      <w:r>
        <w:rPr>
          <w:smallCaps/>
        </w:rPr>
        <w:t xml:space="preserve"> </w:t>
      </w:r>
      <w:r>
        <w:t>examinar, discutir e deliberar sobre:</w:t>
      </w:r>
    </w:p>
    <w:p w14:paraId="044EAD16" w14:textId="77777777" w:rsidR="00AA21EF" w:rsidRDefault="00AA21EF" w:rsidP="009549F5">
      <w:pPr>
        <w:shd w:val="clear" w:color="auto" w:fill="FFFFFF"/>
        <w:spacing w:line="276" w:lineRule="auto"/>
        <w:rPr>
          <w:rFonts w:eastAsia="Times New Roman"/>
          <w:b/>
          <w:color w:val="000000"/>
        </w:rPr>
      </w:pPr>
    </w:p>
    <w:p w14:paraId="5952E641" w14:textId="14E2BDD6" w:rsidR="00AA21EF" w:rsidRPr="002A06E6" w:rsidRDefault="002A06E6" w:rsidP="009549F5">
      <w:pPr>
        <w:pStyle w:val="Default"/>
        <w:numPr>
          <w:ilvl w:val="0"/>
          <w:numId w:val="1"/>
        </w:numPr>
        <w:spacing w:line="276" w:lineRule="auto"/>
        <w:jc w:val="both"/>
        <w:rPr>
          <w:rFonts w:ascii="Arial" w:eastAsia="Arial" w:hAnsi="Arial" w:cs="Arial"/>
          <w:sz w:val="22"/>
          <w:szCs w:val="22"/>
        </w:rPr>
      </w:pPr>
      <w:r>
        <w:rPr>
          <w:rFonts w:ascii="Arial" w:eastAsia="Arial" w:hAnsi="Arial" w:cs="Arial"/>
          <w:sz w:val="22"/>
          <w:szCs w:val="22"/>
          <w:shd w:val="clear" w:color="auto" w:fill="FFFFFF"/>
        </w:rPr>
        <w:t>Aprovação d</w:t>
      </w:r>
      <w:r w:rsidRPr="004A6B01">
        <w:rPr>
          <w:rFonts w:ascii="Arial" w:eastAsia="Arial" w:hAnsi="Arial" w:cs="Arial"/>
          <w:sz w:val="22"/>
          <w:szCs w:val="22"/>
          <w:shd w:val="clear" w:color="auto" w:fill="FFFFFF"/>
        </w:rPr>
        <w:t xml:space="preserve">a outorga de anuência prévia à Emissora para mudança do controle acionário da Emissora, em virtude da celebração do </w:t>
      </w:r>
      <w:r w:rsidRPr="004A6B01">
        <w:rPr>
          <w:rFonts w:ascii="Arial" w:eastAsia="Arial" w:hAnsi="Arial" w:cs="Arial"/>
          <w:sz w:val="22"/>
          <w:szCs w:val="22"/>
        </w:rPr>
        <w:t>Contrato de Compra e Venda de Ações e Outras Avenças (“</w:t>
      </w:r>
      <w:r w:rsidRPr="004A6B01">
        <w:rPr>
          <w:rFonts w:ascii="Arial" w:eastAsia="Arial" w:hAnsi="Arial" w:cs="Arial"/>
          <w:sz w:val="22"/>
          <w:szCs w:val="22"/>
          <w:u w:val="single"/>
        </w:rPr>
        <w:t>Contrato</w:t>
      </w:r>
      <w:r w:rsidRPr="004A6B01">
        <w:rPr>
          <w:rFonts w:ascii="Arial" w:eastAsia="Arial" w:hAnsi="Arial" w:cs="Arial"/>
          <w:sz w:val="22"/>
          <w:szCs w:val="22"/>
        </w:rPr>
        <w:t xml:space="preserve">”) por, de um lado, </w:t>
      </w:r>
      <w:bookmarkStart w:id="1" w:name="_Hlk114240180"/>
      <w:r w:rsidRPr="004A6B01">
        <w:rPr>
          <w:rFonts w:ascii="Arial" w:eastAsia="Arial" w:hAnsi="Arial" w:cs="Arial"/>
          <w:sz w:val="22"/>
          <w:szCs w:val="22"/>
        </w:rPr>
        <w:t xml:space="preserve">Brasil Energia Fundo de Investimento em Participações </w:t>
      </w:r>
      <w:proofErr w:type="spellStart"/>
      <w:r w:rsidRPr="004A6B01">
        <w:rPr>
          <w:rFonts w:ascii="Arial" w:eastAsia="Arial" w:hAnsi="Arial" w:cs="Arial"/>
          <w:sz w:val="22"/>
          <w:szCs w:val="22"/>
        </w:rPr>
        <w:t>Multiestratégia</w:t>
      </w:r>
      <w:proofErr w:type="spellEnd"/>
      <w:r w:rsidRPr="004A6B01">
        <w:rPr>
          <w:rFonts w:ascii="Arial" w:eastAsia="Arial" w:hAnsi="Arial" w:cs="Arial"/>
          <w:sz w:val="22"/>
          <w:szCs w:val="22"/>
        </w:rPr>
        <w:t xml:space="preserve"> </w:t>
      </w:r>
      <w:bookmarkEnd w:id="1"/>
      <w:r w:rsidRPr="004A6B01">
        <w:rPr>
          <w:rFonts w:ascii="Arial" w:eastAsia="Arial" w:hAnsi="Arial" w:cs="Arial"/>
          <w:sz w:val="22"/>
          <w:szCs w:val="22"/>
        </w:rPr>
        <w:t>(“</w:t>
      </w:r>
      <w:r w:rsidRPr="004A6B01">
        <w:rPr>
          <w:rFonts w:ascii="Arial" w:eastAsia="Arial" w:hAnsi="Arial" w:cs="Arial"/>
          <w:sz w:val="22"/>
          <w:szCs w:val="22"/>
          <w:u w:val="single"/>
        </w:rPr>
        <w:t>Brasil Energia FIP</w:t>
      </w:r>
      <w:r w:rsidRPr="004A6B01">
        <w:rPr>
          <w:rFonts w:ascii="Arial" w:eastAsia="Arial" w:hAnsi="Arial" w:cs="Arial"/>
          <w:sz w:val="22"/>
          <w:szCs w:val="22"/>
        </w:rPr>
        <w:t xml:space="preserve">”), </w:t>
      </w:r>
      <w:bookmarkStart w:id="2" w:name="_Hlk114696124"/>
      <w:r w:rsidRPr="004A6B01">
        <w:rPr>
          <w:rFonts w:ascii="Arial" w:eastAsia="Arial" w:hAnsi="Arial" w:cs="Arial"/>
          <w:sz w:val="22"/>
          <w:szCs w:val="22"/>
        </w:rPr>
        <w:t>atual acionista da Emissora, na qualidade de vendedor,</w:t>
      </w:r>
      <w:bookmarkEnd w:id="2"/>
      <w:r w:rsidRPr="004A6B01">
        <w:rPr>
          <w:rFonts w:ascii="Arial" w:eastAsia="Arial" w:hAnsi="Arial" w:cs="Arial"/>
          <w:sz w:val="22"/>
          <w:szCs w:val="22"/>
        </w:rPr>
        <w:t xml:space="preserve"> e, de outro lado, </w:t>
      </w:r>
      <w:r w:rsidRPr="004A6B01">
        <w:rPr>
          <w:rFonts w:ascii="Arial" w:eastAsia="Arial" w:hAnsi="Arial" w:cs="Arial"/>
          <w:sz w:val="22"/>
          <w:szCs w:val="22"/>
          <w:shd w:val="clear" w:color="auto" w:fill="FFFFFF"/>
        </w:rPr>
        <w:t xml:space="preserve">Argo Energia Empreendimentos </w:t>
      </w:r>
      <w:r>
        <w:rPr>
          <w:rFonts w:ascii="Arial" w:eastAsia="Arial" w:hAnsi="Arial" w:cs="Arial"/>
          <w:sz w:val="22"/>
          <w:szCs w:val="22"/>
          <w:shd w:val="clear" w:color="auto" w:fill="FFFFFF"/>
        </w:rPr>
        <w:t>e</w:t>
      </w:r>
      <w:r w:rsidRPr="004A6B01">
        <w:rPr>
          <w:rFonts w:ascii="Arial" w:eastAsia="Arial" w:hAnsi="Arial" w:cs="Arial"/>
          <w:sz w:val="22"/>
          <w:szCs w:val="22"/>
          <w:shd w:val="clear" w:color="auto" w:fill="FFFFFF"/>
        </w:rPr>
        <w:t xml:space="preserve"> Participações S.A., sociedade anônima, com sede na cidade de São Paulo, Estado de São Paulo, na Rua Tabapuã, nº 841, 5º andar, conjunto 51, CEP 04533-013, inscrita no CNPJ sob o nº 24.624.551/0001-94 (“</w:t>
      </w:r>
      <w:r w:rsidRPr="004A6B01">
        <w:rPr>
          <w:rFonts w:ascii="Arial" w:eastAsia="Arial" w:hAnsi="Arial" w:cs="Arial"/>
          <w:sz w:val="22"/>
          <w:szCs w:val="22"/>
          <w:u w:val="single"/>
          <w:shd w:val="clear" w:color="auto" w:fill="FFFFFF"/>
        </w:rPr>
        <w:t>Argo Energia</w:t>
      </w:r>
      <w:r w:rsidRPr="004A6B01">
        <w:rPr>
          <w:rFonts w:ascii="Arial" w:eastAsia="Arial" w:hAnsi="Arial" w:cs="Arial"/>
          <w:sz w:val="22"/>
          <w:szCs w:val="22"/>
          <w:shd w:val="clear" w:color="auto" w:fill="FFFFFF"/>
        </w:rPr>
        <w:t xml:space="preserve">”) e  Grupo </w:t>
      </w:r>
      <w:proofErr w:type="spellStart"/>
      <w:r w:rsidRPr="004A6B01">
        <w:rPr>
          <w:rFonts w:ascii="Arial" w:eastAsia="Arial" w:hAnsi="Arial" w:cs="Arial"/>
          <w:sz w:val="22"/>
          <w:szCs w:val="22"/>
          <w:shd w:val="clear" w:color="auto" w:fill="FFFFFF"/>
        </w:rPr>
        <w:t>Energía</w:t>
      </w:r>
      <w:proofErr w:type="spellEnd"/>
      <w:r w:rsidRPr="004A6B01">
        <w:rPr>
          <w:rFonts w:ascii="Arial" w:eastAsia="Arial" w:hAnsi="Arial" w:cs="Arial"/>
          <w:sz w:val="22"/>
          <w:szCs w:val="22"/>
          <w:shd w:val="clear" w:color="auto" w:fill="FFFFFF"/>
        </w:rPr>
        <w:t xml:space="preserve"> Bogotá S.A. ESP, pessoa jurídica devidamente constituída sob</w:t>
      </w:r>
      <w:r w:rsidRPr="004A6B01">
        <w:rPr>
          <w:rFonts w:ascii="Arial" w:eastAsia="Arial" w:hAnsi="Arial" w:cs="Arial"/>
          <w:sz w:val="22"/>
          <w:szCs w:val="22"/>
        </w:rPr>
        <w:t xml:space="preserve"> </w:t>
      </w:r>
      <w:r w:rsidRPr="004A6B01">
        <w:rPr>
          <w:rFonts w:ascii="Arial" w:eastAsia="Arial" w:hAnsi="Arial" w:cs="Arial"/>
          <w:sz w:val="22"/>
          <w:szCs w:val="22"/>
          <w:shd w:val="clear" w:color="auto" w:fill="FFFFFF"/>
        </w:rPr>
        <w:t>a lei colombiana, com sede na cidade de Bogotá, Colômbia, na Carrera 9, nº 73-44, inscrita no CNPJ sob o número 22.252.125/0001-41 (“</w:t>
      </w:r>
      <w:r w:rsidRPr="004A6B01">
        <w:rPr>
          <w:rFonts w:ascii="Arial" w:eastAsia="Arial" w:hAnsi="Arial" w:cs="Arial"/>
          <w:sz w:val="22"/>
          <w:szCs w:val="22"/>
          <w:u w:val="single"/>
          <w:shd w:val="clear" w:color="auto" w:fill="FFFFFF"/>
        </w:rPr>
        <w:t>GEB</w:t>
      </w:r>
      <w:r w:rsidRPr="004A6B01">
        <w:rPr>
          <w:rFonts w:ascii="Arial" w:eastAsia="Arial" w:hAnsi="Arial" w:cs="Arial"/>
          <w:sz w:val="22"/>
          <w:szCs w:val="22"/>
          <w:shd w:val="clear" w:color="auto" w:fill="FFFFFF"/>
        </w:rPr>
        <w:t>” e, em conjunto com a Argo Energia, as “</w:t>
      </w:r>
      <w:r w:rsidRPr="004A6B01">
        <w:rPr>
          <w:rFonts w:ascii="Arial" w:eastAsia="Arial" w:hAnsi="Arial" w:cs="Arial"/>
          <w:sz w:val="22"/>
          <w:szCs w:val="22"/>
          <w:u w:val="single"/>
          <w:shd w:val="clear" w:color="auto" w:fill="FFFFFF"/>
        </w:rPr>
        <w:t>Compradoras</w:t>
      </w:r>
      <w:r w:rsidRPr="004A6B01">
        <w:rPr>
          <w:rFonts w:ascii="Arial" w:eastAsia="Arial" w:hAnsi="Arial" w:cs="Arial"/>
          <w:sz w:val="22"/>
          <w:szCs w:val="22"/>
          <w:shd w:val="clear" w:color="auto" w:fill="FFFFFF"/>
        </w:rPr>
        <w:t>”)</w:t>
      </w:r>
      <w:r w:rsidRPr="004A6B01">
        <w:rPr>
          <w:rFonts w:ascii="Arial" w:eastAsia="Arial" w:hAnsi="Arial" w:cs="Arial"/>
          <w:sz w:val="22"/>
          <w:szCs w:val="22"/>
        </w:rPr>
        <w:t xml:space="preserve">, na qualidade de compradoras, por meio do qual, uma vez cumpridas determinadas condições suspensivas, as Compradoras, por meio da </w:t>
      </w:r>
      <w:bookmarkStart w:id="3" w:name="_Hlk114240369"/>
      <w:r>
        <w:rPr>
          <w:rFonts w:ascii="Arial" w:eastAsia="Arial" w:hAnsi="Arial" w:cs="Arial"/>
          <w:sz w:val="22"/>
          <w:szCs w:val="22"/>
        </w:rPr>
        <w:t xml:space="preserve">ARGEB </w:t>
      </w:r>
      <w:r w:rsidRPr="004A6B01">
        <w:rPr>
          <w:rFonts w:ascii="Arial" w:eastAsia="Arial" w:hAnsi="Arial" w:cs="Arial"/>
          <w:sz w:val="22"/>
          <w:szCs w:val="22"/>
        </w:rPr>
        <w:t xml:space="preserve">Energia Empreendimentos </w:t>
      </w:r>
      <w:r>
        <w:rPr>
          <w:rFonts w:ascii="Arial" w:eastAsia="Arial" w:hAnsi="Arial" w:cs="Arial"/>
          <w:sz w:val="22"/>
          <w:szCs w:val="22"/>
        </w:rPr>
        <w:t>e</w:t>
      </w:r>
      <w:r w:rsidRPr="004A6B01">
        <w:rPr>
          <w:rFonts w:ascii="Arial" w:eastAsia="Arial" w:hAnsi="Arial" w:cs="Arial"/>
          <w:sz w:val="22"/>
          <w:szCs w:val="22"/>
        </w:rPr>
        <w:t xml:space="preserve"> Participações S.A., sociedade anônima, com sede na cidade de São Paulo, Estado de São Paulo, na Rua Tabapuã, nº 841, 5º andar, conjunto 55, Itaim Bibi, CEP 04533-013, inscrita no CNPJ sob o nº. 47.680.198/0001-65</w:t>
      </w:r>
      <w:bookmarkEnd w:id="3"/>
      <w:r w:rsidRPr="004A6B01">
        <w:rPr>
          <w:rFonts w:ascii="Arial" w:eastAsia="Arial" w:hAnsi="Arial" w:cs="Arial"/>
          <w:sz w:val="22"/>
          <w:szCs w:val="22"/>
        </w:rPr>
        <w:t xml:space="preserve"> (“</w:t>
      </w:r>
      <w:r w:rsidRPr="004A6B01">
        <w:rPr>
          <w:rFonts w:ascii="Arial" w:eastAsia="Arial" w:hAnsi="Arial" w:cs="Arial"/>
          <w:sz w:val="22"/>
          <w:szCs w:val="22"/>
          <w:u w:val="single"/>
        </w:rPr>
        <w:t>ARGEB</w:t>
      </w:r>
      <w:r w:rsidRPr="004A6B01">
        <w:rPr>
          <w:rFonts w:ascii="Arial" w:eastAsia="Arial" w:hAnsi="Arial" w:cs="Arial"/>
          <w:sz w:val="22"/>
          <w:szCs w:val="22"/>
        </w:rPr>
        <w:t>”), veículo integralmente detido pelas Compradoras, adquirirão a totalidade das ações de emissão da Emissora e de outras subsidiárias do Brasil Energia FIP (“</w:t>
      </w:r>
      <w:r w:rsidRPr="004A6B01">
        <w:rPr>
          <w:rFonts w:ascii="Arial" w:eastAsia="Arial" w:hAnsi="Arial" w:cs="Arial"/>
          <w:sz w:val="22"/>
          <w:szCs w:val="22"/>
          <w:u w:val="single"/>
        </w:rPr>
        <w:t>Operação</w:t>
      </w:r>
      <w:r w:rsidRPr="004A6B01">
        <w:rPr>
          <w:rFonts w:ascii="Arial" w:eastAsia="Arial" w:hAnsi="Arial" w:cs="Arial"/>
          <w:sz w:val="22"/>
          <w:szCs w:val="22"/>
        </w:rPr>
        <w:t xml:space="preserve">”), de modo que a conclusão da Operação não seja considerada </w:t>
      </w:r>
      <w:r w:rsidRPr="004A6B01">
        <w:rPr>
          <w:rFonts w:ascii="Arial" w:eastAsia="Arial" w:hAnsi="Arial" w:cs="Arial"/>
          <w:sz w:val="22"/>
          <w:szCs w:val="22"/>
          <w:shd w:val="clear" w:color="auto" w:fill="FFFFFF"/>
        </w:rPr>
        <w:t xml:space="preserve">um Evento de Vencimento Antecipado, nos termos da Cláusula </w:t>
      </w:r>
      <w:bookmarkStart w:id="4" w:name="_Hlk114240031"/>
      <w:r w:rsidRPr="004A6B01">
        <w:rPr>
          <w:rFonts w:ascii="Arial" w:eastAsia="Arial" w:hAnsi="Arial" w:cs="Arial"/>
          <w:sz w:val="22"/>
          <w:szCs w:val="22"/>
        </w:rPr>
        <w:t>4.1.2</w:t>
      </w:r>
      <w:r w:rsidRPr="004A6B01">
        <w:rPr>
          <w:rFonts w:ascii="Arial" w:eastAsia="Arial" w:hAnsi="Arial" w:cs="Arial"/>
          <w:sz w:val="22"/>
          <w:szCs w:val="22"/>
          <w:shd w:val="clear" w:color="auto" w:fill="FFFFFF"/>
        </w:rPr>
        <w:t>, alínea “</w:t>
      </w:r>
      <w:proofErr w:type="spellStart"/>
      <w:r w:rsidRPr="004A6B01">
        <w:rPr>
          <w:rFonts w:ascii="Arial" w:eastAsia="Arial" w:hAnsi="Arial" w:cs="Arial"/>
          <w:sz w:val="22"/>
          <w:szCs w:val="22"/>
        </w:rPr>
        <w:t>xx</w:t>
      </w:r>
      <w:r>
        <w:rPr>
          <w:rFonts w:ascii="Arial" w:eastAsia="Arial" w:hAnsi="Arial" w:cs="Arial"/>
          <w:sz w:val="22"/>
          <w:szCs w:val="22"/>
        </w:rPr>
        <w:t>ix</w:t>
      </w:r>
      <w:proofErr w:type="spellEnd"/>
      <w:r w:rsidRPr="004A6B01">
        <w:rPr>
          <w:rFonts w:ascii="Arial" w:eastAsia="Arial" w:hAnsi="Arial" w:cs="Arial"/>
          <w:sz w:val="22"/>
          <w:szCs w:val="22"/>
          <w:shd w:val="clear" w:color="auto" w:fill="FFFFFF"/>
        </w:rPr>
        <w:t>” da Escritura de Emissão</w:t>
      </w:r>
      <w:bookmarkEnd w:id="4"/>
      <w:r>
        <w:rPr>
          <w:rFonts w:ascii="Arial" w:eastAsia="Arial" w:hAnsi="Arial" w:cs="Arial"/>
          <w:sz w:val="22"/>
          <w:szCs w:val="22"/>
          <w:shd w:val="clear" w:color="auto" w:fill="FFFFFF"/>
        </w:rPr>
        <w:t>.</w:t>
      </w:r>
    </w:p>
    <w:p w14:paraId="5C582D78" w14:textId="77777777" w:rsidR="00AA21EF" w:rsidRDefault="00AA21EF" w:rsidP="009549F5">
      <w:pPr>
        <w:shd w:val="clear" w:color="auto" w:fill="FFFFFF"/>
        <w:spacing w:line="276" w:lineRule="auto"/>
        <w:rPr>
          <w:rFonts w:eastAsia="Times New Roman"/>
          <w:b/>
          <w:color w:val="000000"/>
        </w:rPr>
      </w:pPr>
    </w:p>
    <w:p w14:paraId="3DD536FA" w14:textId="615DF50B" w:rsidR="00AA21EF" w:rsidRDefault="00AA21EF" w:rsidP="009549F5">
      <w:pPr>
        <w:shd w:val="clear" w:color="auto" w:fill="FFFFFF"/>
        <w:spacing w:line="276" w:lineRule="auto"/>
        <w:rPr>
          <w:rFonts w:eastAsia="Times New Roman"/>
          <w:b/>
          <w:color w:val="000000"/>
        </w:rPr>
      </w:pPr>
      <w:proofErr w:type="gramStart"/>
      <w:r>
        <w:rPr>
          <w:rFonts w:eastAsia="Times New Roman"/>
          <w:b/>
          <w:color w:val="000000"/>
        </w:rPr>
        <w:t xml:space="preserve">[  </w:t>
      </w:r>
      <w:proofErr w:type="gramEnd"/>
      <w:r>
        <w:rPr>
          <w:rFonts w:eastAsia="Times New Roman"/>
          <w:b/>
          <w:color w:val="000000"/>
        </w:rPr>
        <w:t xml:space="preserve">       ] APROVAR               [            ] REJEITAR                  [             ] ABSTER-SE</w:t>
      </w:r>
    </w:p>
    <w:p w14:paraId="37AADB41" w14:textId="7C29A7D7" w:rsidR="00AA21EF" w:rsidRDefault="00AA21EF" w:rsidP="009549F5">
      <w:pPr>
        <w:shd w:val="clear" w:color="auto" w:fill="FFFFFF"/>
        <w:spacing w:line="276" w:lineRule="auto"/>
        <w:rPr>
          <w:rFonts w:eastAsia="Times New Roman"/>
          <w:color w:val="000000"/>
        </w:rPr>
      </w:pPr>
    </w:p>
    <w:p w14:paraId="6518DD03" w14:textId="77777777" w:rsidR="009549F5" w:rsidRDefault="009549F5" w:rsidP="009549F5">
      <w:pPr>
        <w:shd w:val="clear" w:color="auto" w:fill="FFFFFF"/>
        <w:spacing w:line="276" w:lineRule="auto"/>
        <w:rPr>
          <w:rFonts w:eastAsia="Times New Roman"/>
          <w:color w:val="000000"/>
        </w:rPr>
      </w:pPr>
    </w:p>
    <w:p w14:paraId="091692E3" w14:textId="3195DF63" w:rsidR="00AA21EF" w:rsidRDefault="002A06E6" w:rsidP="009549F5">
      <w:pPr>
        <w:pStyle w:val="Estilo"/>
        <w:numPr>
          <w:ilvl w:val="0"/>
          <w:numId w:val="1"/>
        </w:numPr>
        <w:spacing w:line="276" w:lineRule="auto"/>
        <w:jc w:val="both"/>
        <w:rPr>
          <w:rFonts w:ascii="Arial" w:hAnsi="Arial" w:cs="Arial"/>
          <w:sz w:val="22"/>
          <w:szCs w:val="22"/>
          <w:shd w:val="clear" w:color="auto" w:fill="FFFFFF"/>
        </w:rPr>
      </w:pPr>
      <w:r>
        <w:rPr>
          <w:rFonts w:ascii="Arial" w:eastAsiaTheme="minorHAnsi" w:hAnsi="Arial" w:cs="Arial"/>
          <w:sz w:val="22"/>
          <w:szCs w:val="22"/>
          <w:shd w:val="clear" w:color="auto" w:fill="FFFFFF"/>
          <w:lang w:eastAsia="en-US"/>
        </w:rPr>
        <w:lastRenderedPageBreak/>
        <w:t xml:space="preserve">Autorização para </w:t>
      </w:r>
      <w:r w:rsidRPr="002A06E6">
        <w:rPr>
          <w:rFonts w:ascii="Arial" w:eastAsiaTheme="minorHAnsi" w:hAnsi="Arial" w:cs="Arial"/>
          <w:sz w:val="22"/>
          <w:szCs w:val="22"/>
          <w:shd w:val="clear" w:color="auto" w:fill="FFFFFF"/>
          <w:lang w:eastAsia="en-US"/>
        </w:rPr>
        <w:t xml:space="preserve">que o Agente Fiduciário pratique, em conjunto com a Emissora, </w:t>
      </w:r>
      <w:r w:rsidR="009549F5">
        <w:rPr>
          <w:rFonts w:ascii="Arial" w:eastAsiaTheme="minorHAnsi" w:hAnsi="Arial" w:cs="Arial"/>
          <w:sz w:val="22"/>
          <w:szCs w:val="22"/>
          <w:shd w:val="clear" w:color="auto" w:fill="FFFFFF"/>
          <w:lang w:eastAsia="en-US"/>
        </w:rPr>
        <w:t xml:space="preserve">pratique </w:t>
      </w:r>
      <w:r w:rsidRPr="002A06E6">
        <w:rPr>
          <w:rFonts w:ascii="Arial" w:eastAsiaTheme="minorHAnsi" w:hAnsi="Arial" w:cs="Arial"/>
          <w:sz w:val="22"/>
          <w:szCs w:val="22"/>
          <w:shd w:val="clear" w:color="auto" w:fill="FFFFFF"/>
          <w:lang w:eastAsia="en-US"/>
        </w:rPr>
        <w:t>todas as medidas e celebre todos e quaisquer documentos necessários à efetivação integral das deliberações tomadas no âmbito da Assembleia</w:t>
      </w:r>
      <w:r w:rsidR="009549F5">
        <w:rPr>
          <w:rFonts w:ascii="Arial" w:eastAsiaTheme="minorHAnsi" w:hAnsi="Arial" w:cs="Arial"/>
          <w:sz w:val="22"/>
          <w:szCs w:val="22"/>
          <w:shd w:val="clear" w:color="auto" w:fill="FFFFFF"/>
          <w:lang w:eastAsia="en-US"/>
        </w:rPr>
        <w:t xml:space="preserve">. </w:t>
      </w:r>
    </w:p>
    <w:p w14:paraId="46BD74B6" w14:textId="77777777" w:rsidR="002A06E6" w:rsidRDefault="002A06E6" w:rsidP="009549F5">
      <w:pPr>
        <w:shd w:val="clear" w:color="auto" w:fill="FFFFFF"/>
        <w:spacing w:line="276" w:lineRule="auto"/>
        <w:rPr>
          <w:rFonts w:eastAsia="Times New Roman"/>
          <w:b/>
          <w:color w:val="000000"/>
        </w:rPr>
      </w:pPr>
    </w:p>
    <w:p w14:paraId="4AC75168" w14:textId="5C47BA28" w:rsidR="002A06E6" w:rsidRPr="002A06E6" w:rsidRDefault="002A06E6" w:rsidP="009549F5">
      <w:pPr>
        <w:shd w:val="clear" w:color="auto" w:fill="FFFFFF"/>
        <w:spacing w:line="276" w:lineRule="auto"/>
        <w:rPr>
          <w:rFonts w:eastAsia="Times New Roman"/>
          <w:b/>
          <w:color w:val="000000"/>
        </w:rPr>
      </w:pPr>
      <w:proofErr w:type="gramStart"/>
      <w:r w:rsidRPr="002A06E6">
        <w:rPr>
          <w:rFonts w:eastAsia="Times New Roman"/>
          <w:b/>
          <w:color w:val="000000"/>
        </w:rPr>
        <w:t xml:space="preserve">[  </w:t>
      </w:r>
      <w:proofErr w:type="gramEnd"/>
      <w:r w:rsidRPr="002A06E6">
        <w:rPr>
          <w:rFonts w:eastAsia="Times New Roman"/>
          <w:b/>
          <w:color w:val="000000"/>
        </w:rPr>
        <w:t xml:space="preserve">       ] APROVAR               [            ] REJEITAR                  [             ] ABSTER-SE</w:t>
      </w:r>
    </w:p>
    <w:p w14:paraId="04E346FA" w14:textId="77777777" w:rsidR="002A06E6" w:rsidRDefault="002A06E6" w:rsidP="009549F5">
      <w:pPr>
        <w:pStyle w:val="Estilo"/>
        <w:spacing w:line="276" w:lineRule="auto"/>
        <w:jc w:val="both"/>
        <w:rPr>
          <w:rFonts w:ascii="Arial" w:hAnsi="Arial" w:cs="Arial"/>
          <w:b/>
          <w:color w:val="000000"/>
          <w:sz w:val="22"/>
          <w:szCs w:val="22"/>
        </w:rPr>
      </w:pPr>
    </w:p>
    <w:p w14:paraId="4F7EC5B4" w14:textId="1F1C9B2C" w:rsidR="008B5656" w:rsidRDefault="008B5656" w:rsidP="00B9649C">
      <w:pPr>
        <w:spacing w:before="140" w:line="288" w:lineRule="auto"/>
        <w:rPr>
          <w:bCs/>
          <w:szCs w:val="20"/>
        </w:rPr>
      </w:pPr>
      <w:r>
        <w:rPr>
          <w:bCs/>
          <w:szCs w:val="20"/>
        </w:rPr>
        <w:t>Fica certo que, n</w:t>
      </w:r>
      <w:r w:rsidRPr="008B5656">
        <w:rPr>
          <w:bCs/>
          <w:szCs w:val="20"/>
        </w:rPr>
        <w:t>o caso de aprovação pelos Debenturistas das matérias da Ordem do Dia, a Emissora propõe o</w:t>
      </w:r>
      <w:r>
        <w:rPr>
          <w:bCs/>
          <w:szCs w:val="20"/>
        </w:rPr>
        <w:t xml:space="preserve"> </w:t>
      </w:r>
      <w:r w:rsidRPr="008B5656">
        <w:rPr>
          <w:bCs/>
          <w:szCs w:val="20"/>
        </w:rPr>
        <w:t>pagamento de prêmio ("</w:t>
      </w:r>
      <w:proofErr w:type="spellStart"/>
      <w:r w:rsidRPr="008B5656">
        <w:rPr>
          <w:bCs/>
          <w:szCs w:val="20"/>
        </w:rPr>
        <w:t>Waiver</w:t>
      </w:r>
      <w:proofErr w:type="spellEnd"/>
      <w:r w:rsidRPr="008B5656">
        <w:rPr>
          <w:bCs/>
          <w:szCs w:val="20"/>
        </w:rPr>
        <w:t xml:space="preserve"> </w:t>
      </w:r>
      <w:proofErr w:type="spellStart"/>
      <w:r w:rsidRPr="008B5656">
        <w:rPr>
          <w:bCs/>
          <w:szCs w:val="20"/>
        </w:rPr>
        <w:t>Fee</w:t>
      </w:r>
      <w:proofErr w:type="spellEnd"/>
      <w:r w:rsidRPr="008B5656">
        <w:rPr>
          <w:bCs/>
          <w:szCs w:val="20"/>
        </w:rPr>
        <w:t>") a todos os Debenturistas, nos termos da mais recente Proposta de</w:t>
      </w:r>
      <w:r>
        <w:rPr>
          <w:bCs/>
          <w:szCs w:val="20"/>
        </w:rPr>
        <w:t xml:space="preserve"> </w:t>
      </w:r>
      <w:r w:rsidRPr="008B5656">
        <w:rPr>
          <w:bCs/>
          <w:szCs w:val="20"/>
        </w:rPr>
        <w:t>Administração divulgada pela Emissora até a realização da Assembleia Geral de Debenturistas</w:t>
      </w:r>
      <w:r>
        <w:rPr>
          <w:bCs/>
          <w:szCs w:val="20"/>
        </w:rPr>
        <w:t>.</w:t>
      </w:r>
    </w:p>
    <w:p w14:paraId="779D885F" w14:textId="2AFD7074" w:rsidR="00B9649C" w:rsidRDefault="00B9649C" w:rsidP="00C204A3">
      <w:pPr>
        <w:spacing w:before="140" w:line="288" w:lineRule="auto"/>
        <w:rPr>
          <w:rFonts w:eastAsia="Times New Roman"/>
          <w:color w:val="000000"/>
        </w:rPr>
      </w:pPr>
      <w:r>
        <w:rPr>
          <w:bCs/>
          <w:szCs w:val="20"/>
        </w:rPr>
        <w:t xml:space="preserve">O Debenturista declara concordar que, desde que o seu conteúdo não tenha sido alterado, a presente Instrução de Voto </w:t>
      </w:r>
      <w:r>
        <w:rPr>
          <w:szCs w:val="20"/>
        </w:rPr>
        <w:t>poderá ser utilizada quando</w:t>
      </w:r>
      <w:r>
        <w:rPr>
          <w:bCs/>
          <w:szCs w:val="20"/>
        </w:rPr>
        <w:t xml:space="preserve"> da realização ou retomada da </w:t>
      </w:r>
      <w:r w:rsidR="006C4F04" w:rsidRPr="006C4F04">
        <w:rPr>
          <w:bCs/>
          <w:szCs w:val="20"/>
        </w:rPr>
        <w:t>Assembleia Geral de Debenturistas</w:t>
      </w:r>
      <w:r>
        <w:rPr>
          <w:bCs/>
          <w:szCs w:val="20"/>
        </w:rPr>
        <w:t xml:space="preserve">, </w:t>
      </w:r>
      <w:r>
        <w:rPr>
          <w:szCs w:val="20"/>
        </w:rPr>
        <w:t>bem como na hipótese de sua realização em segunda convocação</w:t>
      </w:r>
      <w:r w:rsidR="0032532F">
        <w:rPr>
          <w:szCs w:val="20"/>
        </w:rPr>
        <w:t>,</w:t>
      </w:r>
      <w:r>
        <w:rPr>
          <w:szCs w:val="20"/>
        </w:rPr>
        <w:t xml:space="preserve"> ou caso</w:t>
      </w:r>
      <w:r>
        <w:rPr>
          <w:bCs/>
          <w:szCs w:val="20"/>
        </w:rPr>
        <w:t xml:space="preserve"> a </w:t>
      </w:r>
      <w:r w:rsidR="006C4F04" w:rsidRPr="006C4F04">
        <w:rPr>
          <w:bCs/>
          <w:szCs w:val="20"/>
        </w:rPr>
        <w:t>Assembleia Geral de Debenturistas</w:t>
      </w:r>
      <w:r>
        <w:rPr>
          <w:bCs/>
          <w:szCs w:val="20"/>
        </w:rPr>
        <w:t xml:space="preserve"> seja </w:t>
      </w:r>
      <w:r>
        <w:rPr>
          <w:szCs w:val="20"/>
        </w:rPr>
        <w:t xml:space="preserve">suspensa, adiada em primeira ou segunda convocação, ou não seja instalada em primeira convocação, mantendo-se </w:t>
      </w:r>
      <w:r>
        <w:rPr>
          <w:bCs/>
          <w:szCs w:val="20"/>
        </w:rPr>
        <w:t xml:space="preserve">válidas e em vigor as instruções de </w:t>
      </w:r>
      <w:r>
        <w:rPr>
          <w:szCs w:val="20"/>
        </w:rPr>
        <w:t>voto aqui previstas.</w:t>
      </w:r>
    </w:p>
    <w:p w14:paraId="70B97988" w14:textId="77777777" w:rsidR="00B9649C" w:rsidRDefault="00B9649C" w:rsidP="009549F5">
      <w:pPr>
        <w:spacing w:line="276" w:lineRule="auto"/>
        <w:rPr>
          <w:rFonts w:eastAsia="Times New Roman"/>
          <w:color w:val="000000"/>
        </w:rPr>
      </w:pPr>
    </w:p>
    <w:tbl>
      <w:tblPr>
        <w:tblStyle w:val="Tabelacomgrade"/>
        <w:tblW w:w="0" w:type="auto"/>
        <w:tblInd w:w="-5" w:type="dxa"/>
        <w:tblLook w:val="04A0" w:firstRow="1" w:lastRow="0" w:firstColumn="1" w:lastColumn="0" w:noHBand="0" w:noVBand="1"/>
      </w:tblPr>
      <w:tblGrid>
        <w:gridCol w:w="2731"/>
        <w:gridCol w:w="2732"/>
        <w:gridCol w:w="2732"/>
      </w:tblGrid>
      <w:tr w:rsidR="00AA21EF" w14:paraId="319BAF0A" w14:textId="77777777" w:rsidTr="009549F5">
        <w:tc>
          <w:tcPr>
            <w:tcW w:w="2731" w:type="dxa"/>
          </w:tcPr>
          <w:p w14:paraId="2EDADDE2" w14:textId="77777777" w:rsidR="00AA21EF" w:rsidRDefault="00AA21EF" w:rsidP="009549F5">
            <w:pPr>
              <w:spacing w:line="276" w:lineRule="auto"/>
              <w:rPr>
                <w:rStyle w:val="Nmerodepgina"/>
              </w:rPr>
            </w:pPr>
            <w:r>
              <w:rPr>
                <w:rStyle w:val="Nmerodepgina"/>
              </w:rPr>
              <w:t>Local:</w:t>
            </w:r>
          </w:p>
        </w:tc>
        <w:tc>
          <w:tcPr>
            <w:tcW w:w="2732" w:type="dxa"/>
          </w:tcPr>
          <w:p w14:paraId="1D7EE6F1" w14:textId="77777777" w:rsidR="00AA21EF" w:rsidRDefault="00AA21EF" w:rsidP="009549F5">
            <w:pPr>
              <w:spacing w:line="276" w:lineRule="auto"/>
              <w:rPr>
                <w:rStyle w:val="Nmerodepgina"/>
              </w:rPr>
            </w:pPr>
          </w:p>
        </w:tc>
        <w:tc>
          <w:tcPr>
            <w:tcW w:w="2732" w:type="dxa"/>
          </w:tcPr>
          <w:p w14:paraId="286E7C1A" w14:textId="77777777" w:rsidR="00AA21EF" w:rsidRDefault="00AA21EF" w:rsidP="009549F5">
            <w:pPr>
              <w:spacing w:line="276" w:lineRule="auto"/>
              <w:rPr>
                <w:rStyle w:val="Nmerodepgina"/>
              </w:rPr>
            </w:pPr>
          </w:p>
        </w:tc>
      </w:tr>
      <w:tr w:rsidR="00AA21EF" w14:paraId="72127A2F" w14:textId="77777777" w:rsidTr="009549F5">
        <w:tc>
          <w:tcPr>
            <w:tcW w:w="2731" w:type="dxa"/>
          </w:tcPr>
          <w:p w14:paraId="3C96D1F3" w14:textId="77777777" w:rsidR="00AA21EF" w:rsidRDefault="00AA21EF" w:rsidP="009549F5">
            <w:pPr>
              <w:spacing w:line="276" w:lineRule="auto"/>
              <w:rPr>
                <w:rStyle w:val="Nmerodepgina"/>
              </w:rPr>
            </w:pPr>
            <w:r>
              <w:rPr>
                <w:rStyle w:val="Nmerodepgina"/>
              </w:rPr>
              <w:t>Data:</w:t>
            </w:r>
          </w:p>
        </w:tc>
        <w:tc>
          <w:tcPr>
            <w:tcW w:w="2732" w:type="dxa"/>
          </w:tcPr>
          <w:p w14:paraId="01011D6A" w14:textId="77777777" w:rsidR="00AA21EF" w:rsidRDefault="00AA21EF" w:rsidP="009549F5">
            <w:pPr>
              <w:spacing w:line="276" w:lineRule="auto"/>
              <w:rPr>
                <w:rStyle w:val="Nmerodepgina"/>
              </w:rPr>
            </w:pPr>
          </w:p>
        </w:tc>
        <w:tc>
          <w:tcPr>
            <w:tcW w:w="2732" w:type="dxa"/>
          </w:tcPr>
          <w:p w14:paraId="22D21F96" w14:textId="77777777" w:rsidR="00AA21EF" w:rsidRDefault="00AA21EF" w:rsidP="009549F5">
            <w:pPr>
              <w:spacing w:line="276" w:lineRule="auto"/>
              <w:rPr>
                <w:rStyle w:val="Nmerodepgina"/>
              </w:rPr>
            </w:pPr>
          </w:p>
        </w:tc>
      </w:tr>
      <w:tr w:rsidR="00AA21EF" w14:paraId="16C98184" w14:textId="77777777" w:rsidTr="009549F5">
        <w:tc>
          <w:tcPr>
            <w:tcW w:w="2731" w:type="dxa"/>
          </w:tcPr>
          <w:p w14:paraId="49E6475C" w14:textId="77777777" w:rsidR="00AA21EF" w:rsidRDefault="00AA21EF" w:rsidP="009549F5">
            <w:pPr>
              <w:spacing w:line="276" w:lineRule="auto"/>
              <w:rPr>
                <w:rStyle w:val="Nmerodepgina"/>
              </w:rPr>
            </w:pPr>
            <w:r>
              <w:rPr>
                <w:rStyle w:val="Nmerodepgina"/>
              </w:rPr>
              <w:t>Assinatura:</w:t>
            </w:r>
          </w:p>
        </w:tc>
        <w:tc>
          <w:tcPr>
            <w:tcW w:w="2732" w:type="dxa"/>
          </w:tcPr>
          <w:p w14:paraId="224C7468" w14:textId="77777777" w:rsidR="00AA21EF" w:rsidRDefault="00AA21EF" w:rsidP="009549F5">
            <w:pPr>
              <w:spacing w:line="276" w:lineRule="auto"/>
              <w:rPr>
                <w:rStyle w:val="Nmerodepgina"/>
              </w:rPr>
            </w:pPr>
          </w:p>
        </w:tc>
        <w:tc>
          <w:tcPr>
            <w:tcW w:w="2732" w:type="dxa"/>
          </w:tcPr>
          <w:p w14:paraId="6A1A8768" w14:textId="77777777" w:rsidR="00AA21EF" w:rsidRDefault="00AA21EF" w:rsidP="009549F5">
            <w:pPr>
              <w:spacing w:line="276" w:lineRule="auto"/>
              <w:rPr>
                <w:rStyle w:val="Nmerodepgina"/>
              </w:rPr>
            </w:pPr>
          </w:p>
        </w:tc>
      </w:tr>
    </w:tbl>
    <w:p w14:paraId="4B7A6B89" w14:textId="77777777" w:rsidR="00AA21EF" w:rsidRDefault="00AA21EF" w:rsidP="009549F5">
      <w:pPr>
        <w:spacing w:line="276" w:lineRule="auto"/>
        <w:rPr>
          <w:rStyle w:val="Nmerodepgina"/>
        </w:rPr>
      </w:pPr>
    </w:p>
    <w:p w14:paraId="0822485D" w14:textId="77777777" w:rsidR="00B62365" w:rsidRDefault="00B62365" w:rsidP="009549F5">
      <w:pPr>
        <w:spacing w:line="276" w:lineRule="auto"/>
        <w:rPr>
          <w:rStyle w:val="Nmerodepgina"/>
        </w:rPr>
      </w:pPr>
    </w:p>
    <w:sectPr w:rsidR="00B62365" w:rsidSect="00AA21EF">
      <w:headerReference w:type="default" r:id="rId9"/>
      <w:footerReference w:type="default" r:id="rId10"/>
      <w:footerReference w:type="first" r:id="rId11"/>
      <w:pgSz w:w="11907" w:h="16840" w:code="9"/>
      <w:pgMar w:top="1417" w:right="1701" w:bottom="1417" w:left="170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D830" w14:textId="77777777" w:rsidR="0020341E" w:rsidRDefault="0020341E">
      <w:r>
        <w:separator/>
      </w:r>
    </w:p>
  </w:endnote>
  <w:endnote w:type="continuationSeparator" w:id="0">
    <w:p w14:paraId="4761C20C" w14:textId="77777777" w:rsidR="0020341E" w:rsidRDefault="0020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4BB3" w14:textId="77777777" w:rsidR="00B62365" w:rsidRDefault="00B62365">
    <w:pPr>
      <w:pStyle w:val="Rodap"/>
      <w:spacing w:line="240" w:lineRule="auto"/>
      <w:rPr>
        <w:sz w:val="18"/>
      </w:rPr>
    </w:pPr>
  </w:p>
  <w:p w14:paraId="015404BF" w14:textId="77777777" w:rsidR="00B62365" w:rsidRDefault="006A0113">
    <w:pPr>
      <w:pStyle w:val="Rodap"/>
      <w:spacing w:line="240" w:lineRule="auto"/>
      <w:jc w:val="center"/>
      <w:rPr>
        <w:sz w:val="18"/>
      </w:rPr>
    </w:pPr>
    <w:r>
      <w:rPr>
        <w:sz w:val="18"/>
      </w:rPr>
      <w:t xml:space="preserve">- </w:t>
    </w:r>
    <w:r>
      <w:rPr>
        <w:sz w:val="18"/>
      </w:rPr>
      <w:fldChar w:fldCharType="begin"/>
    </w:r>
    <w:r>
      <w:rPr>
        <w:sz w:val="18"/>
      </w:rPr>
      <w:instrText xml:space="preserve"> PAGE  \* MERGEFORMAT </w:instrText>
    </w:r>
    <w:r>
      <w:rPr>
        <w:sz w:val="18"/>
      </w:rPr>
      <w:fldChar w:fldCharType="separate"/>
    </w:r>
    <w:r>
      <w:rPr>
        <w:noProof/>
        <w:sz w:val="18"/>
      </w:rPr>
      <w:t>2</w:t>
    </w:r>
    <w:r>
      <w:rPr>
        <w:sz w:val="18"/>
      </w:rPr>
      <w:fldChar w:fldCharType="end"/>
    </w:r>
    <w:r>
      <w:rPr>
        <w:sz w:val="18"/>
      </w:rPr>
      <w:t xml:space="preserve"> -</w:t>
    </w:r>
  </w:p>
  <w:p w14:paraId="0F46CA63" w14:textId="77777777" w:rsidR="00B62365" w:rsidRDefault="00B62365">
    <w:pPr>
      <w:pStyle w:val="Rodap"/>
      <w:spacing w:line="24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3749" w14:textId="2E744AC6" w:rsidR="00B62365" w:rsidRDefault="0020341E">
    <w:pPr>
      <w:pStyle w:val="Rodap"/>
      <w:widowControl w:val="0"/>
      <w:spacing w:line="240" w:lineRule="auto"/>
    </w:pPr>
    <w:fldSimple w:instr=" DOCPROPERTY iManageFooter \* MERGEFORMAT ">
      <w:r w:rsidR="00437E99">
        <w:t>JUR_SP - 45329557v1 - 1609025.489939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CA72" w14:textId="77777777" w:rsidR="0020341E" w:rsidRDefault="0020341E">
      <w:r>
        <w:separator/>
      </w:r>
    </w:p>
  </w:footnote>
  <w:footnote w:type="continuationSeparator" w:id="0">
    <w:p w14:paraId="4075BBF8" w14:textId="77777777" w:rsidR="0020341E" w:rsidRDefault="00203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A130" w14:textId="77777777" w:rsidR="00B62365" w:rsidRDefault="00B62365">
    <w:pPr>
      <w:pStyle w:val="Cabealho"/>
      <w:spacing w:line="40" w:lineRule="exact"/>
      <w:jc w:val="both"/>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47C"/>
    <w:multiLevelType w:val="hybridMultilevel"/>
    <w:tmpl w:val="0FE4DFCC"/>
    <w:lvl w:ilvl="0" w:tplc="58C4DB4A">
      <w:start w:val="1"/>
      <w:numFmt w:val="low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87380A"/>
    <w:multiLevelType w:val="hybridMultilevel"/>
    <w:tmpl w:val="1EF88A14"/>
    <w:lvl w:ilvl="0" w:tplc="04160001">
      <w:start w:val="1"/>
      <w:numFmt w:val="bullet"/>
      <w:lvlText w:val=""/>
      <w:lvlJc w:val="left"/>
      <w:pPr>
        <w:ind w:left="-414" w:hanging="360"/>
      </w:pPr>
      <w:rPr>
        <w:rFonts w:ascii="Symbol" w:hAnsi="Symbol" w:hint="default"/>
      </w:rPr>
    </w:lvl>
    <w:lvl w:ilvl="1" w:tplc="04160003" w:tentative="1">
      <w:start w:val="1"/>
      <w:numFmt w:val="bullet"/>
      <w:lvlText w:val="o"/>
      <w:lvlJc w:val="left"/>
      <w:pPr>
        <w:ind w:left="306" w:hanging="360"/>
      </w:pPr>
      <w:rPr>
        <w:rFonts w:ascii="Courier New" w:hAnsi="Courier New" w:cs="Courier New" w:hint="default"/>
      </w:rPr>
    </w:lvl>
    <w:lvl w:ilvl="2" w:tplc="04160005" w:tentative="1">
      <w:start w:val="1"/>
      <w:numFmt w:val="bullet"/>
      <w:lvlText w:val=""/>
      <w:lvlJc w:val="left"/>
      <w:pPr>
        <w:ind w:left="1026" w:hanging="360"/>
      </w:pPr>
      <w:rPr>
        <w:rFonts w:ascii="Wingdings" w:hAnsi="Wingdings" w:hint="default"/>
      </w:rPr>
    </w:lvl>
    <w:lvl w:ilvl="3" w:tplc="04160001" w:tentative="1">
      <w:start w:val="1"/>
      <w:numFmt w:val="bullet"/>
      <w:lvlText w:val=""/>
      <w:lvlJc w:val="left"/>
      <w:pPr>
        <w:ind w:left="1746" w:hanging="360"/>
      </w:pPr>
      <w:rPr>
        <w:rFonts w:ascii="Symbol" w:hAnsi="Symbol" w:hint="default"/>
      </w:rPr>
    </w:lvl>
    <w:lvl w:ilvl="4" w:tplc="04160003" w:tentative="1">
      <w:start w:val="1"/>
      <w:numFmt w:val="bullet"/>
      <w:lvlText w:val="o"/>
      <w:lvlJc w:val="left"/>
      <w:pPr>
        <w:ind w:left="2466" w:hanging="360"/>
      </w:pPr>
      <w:rPr>
        <w:rFonts w:ascii="Courier New" w:hAnsi="Courier New" w:cs="Courier New" w:hint="default"/>
      </w:rPr>
    </w:lvl>
    <w:lvl w:ilvl="5" w:tplc="04160005" w:tentative="1">
      <w:start w:val="1"/>
      <w:numFmt w:val="bullet"/>
      <w:lvlText w:val=""/>
      <w:lvlJc w:val="left"/>
      <w:pPr>
        <w:ind w:left="3186" w:hanging="360"/>
      </w:pPr>
      <w:rPr>
        <w:rFonts w:ascii="Wingdings" w:hAnsi="Wingdings" w:hint="default"/>
      </w:rPr>
    </w:lvl>
    <w:lvl w:ilvl="6" w:tplc="04160001" w:tentative="1">
      <w:start w:val="1"/>
      <w:numFmt w:val="bullet"/>
      <w:lvlText w:val=""/>
      <w:lvlJc w:val="left"/>
      <w:pPr>
        <w:ind w:left="3906" w:hanging="360"/>
      </w:pPr>
      <w:rPr>
        <w:rFonts w:ascii="Symbol" w:hAnsi="Symbol" w:hint="default"/>
      </w:rPr>
    </w:lvl>
    <w:lvl w:ilvl="7" w:tplc="04160003" w:tentative="1">
      <w:start w:val="1"/>
      <w:numFmt w:val="bullet"/>
      <w:lvlText w:val="o"/>
      <w:lvlJc w:val="left"/>
      <w:pPr>
        <w:ind w:left="4626" w:hanging="360"/>
      </w:pPr>
      <w:rPr>
        <w:rFonts w:ascii="Courier New" w:hAnsi="Courier New" w:cs="Courier New" w:hint="default"/>
      </w:rPr>
    </w:lvl>
    <w:lvl w:ilvl="8" w:tplc="04160005" w:tentative="1">
      <w:start w:val="1"/>
      <w:numFmt w:val="bullet"/>
      <w:lvlText w:val=""/>
      <w:lvlJc w:val="left"/>
      <w:pPr>
        <w:ind w:left="5346" w:hanging="360"/>
      </w:pPr>
      <w:rPr>
        <w:rFonts w:ascii="Wingdings" w:hAnsi="Wingdings" w:hint="default"/>
      </w:rPr>
    </w:lvl>
  </w:abstractNum>
  <w:abstractNum w:abstractNumId="2" w15:restartNumberingAfterBreak="0">
    <w:nsid w:val="681379D4"/>
    <w:multiLevelType w:val="hybridMultilevel"/>
    <w:tmpl w:val="00AAFA8A"/>
    <w:lvl w:ilvl="0" w:tplc="D7F4485E">
      <w:start w:val="1"/>
      <w:numFmt w:val="lowerLetter"/>
      <w:lvlText w:val="(%1)"/>
      <w:lvlJc w:val="left"/>
      <w:pPr>
        <w:ind w:left="720" w:hanging="360"/>
      </w:pPr>
      <w:rPr>
        <w:rFonts w:hint="default"/>
      </w:rPr>
    </w:lvl>
    <w:lvl w:ilvl="1" w:tplc="8C260908" w:tentative="1">
      <w:start w:val="1"/>
      <w:numFmt w:val="lowerLetter"/>
      <w:lvlText w:val="%2."/>
      <w:lvlJc w:val="left"/>
      <w:pPr>
        <w:ind w:left="1440" w:hanging="360"/>
      </w:pPr>
    </w:lvl>
    <w:lvl w:ilvl="2" w:tplc="C046D126" w:tentative="1">
      <w:start w:val="1"/>
      <w:numFmt w:val="lowerRoman"/>
      <w:lvlText w:val="%3."/>
      <w:lvlJc w:val="right"/>
      <w:pPr>
        <w:ind w:left="2160" w:hanging="180"/>
      </w:pPr>
    </w:lvl>
    <w:lvl w:ilvl="3" w:tplc="186679B8" w:tentative="1">
      <w:start w:val="1"/>
      <w:numFmt w:val="decimal"/>
      <w:lvlText w:val="%4."/>
      <w:lvlJc w:val="left"/>
      <w:pPr>
        <w:ind w:left="2880" w:hanging="360"/>
      </w:pPr>
    </w:lvl>
    <w:lvl w:ilvl="4" w:tplc="F6DCD700" w:tentative="1">
      <w:start w:val="1"/>
      <w:numFmt w:val="lowerLetter"/>
      <w:lvlText w:val="%5."/>
      <w:lvlJc w:val="left"/>
      <w:pPr>
        <w:ind w:left="3600" w:hanging="360"/>
      </w:pPr>
    </w:lvl>
    <w:lvl w:ilvl="5" w:tplc="B4DA87CC" w:tentative="1">
      <w:start w:val="1"/>
      <w:numFmt w:val="lowerRoman"/>
      <w:lvlText w:val="%6."/>
      <w:lvlJc w:val="right"/>
      <w:pPr>
        <w:ind w:left="4320" w:hanging="180"/>
      </w:pPr>
    </w:lvl>
    <w:lvl w:ilvl="6" w:tplc="01EE5B76" w:tentative="1">
      <w:start w:val="1"/>
      <w:numFmt w:val="decimal"/>
      <w:lvlText w:val="%7."/>
      <w:lvlJc w:val="left"/>
      <w:pPr>
        <w:ind w:left="5040" w:hanging="360"/>
      </w:pPr>
    </w:lvl>
    <w:lvl w:ilvl="7" w:tplc="2304A6CE" w:tentative="1">
      <w:start w:val="1"/>
      <w:numFmt w:val="lowerLetter"/>
      <w:lvlText w:val="%8."/>
      <w:lvlJc w:val="left"/>
      <w:pPr>
        <w:ind w:left="5760" w:hanging="360"/>
      </w:pPr>
    </w:lvl>
    <w:lvl w:ilvl="8" w:tplc="A52C3434"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EF"/>
    <w:rsid w:val="000511FC"/>
    <w:rsid w:val="000B022D"/>
    <w:rsid w:val="001B5C69"/>
    <w:rsid w:val="0020341E"/>
    <w:rsid w:val="002A06E6"/>
    <w:rsid w:val="0032532F"/>
    <w:rsid w:val="003860AD"/>
    <w:rsid w:val="003F3E05"/>
    <w:rsid w:val="00437E99"/>
    <w:rsid w:val="004D7BB8"/>
    <w:rsid w:val="006A0113"/>
    <w:rsid w:val="006C4F04"/>
    <w:rsid w:val="008B5656"/>
    <w:rsid w:val="009549F5"/>
    <w:rsid w:val="00AA21EF"/>
    <w:rsid w:val="00B62365"/>
    <w:rsid w:val="00B9649C"/>
    <w:rsid w:val="00C204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AA4DA"/>
  <w15:chartTrackingRefBased/>
  <w15:docId w15:val="{94CC54B2-2B12-4D36-891A-15858981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pt-BR" w:eastAsia="pt-BR" w:bidi="ar-SA"/>
      </w:rPr>
    </w:rPrDefault>
    <w:pPrDefault>
      <w:pPr>
        <w:spacing w:line="340" w:lineRule="exact"/>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1EF"/>
  </w:style>
  <w:style w:type="paragraph" w:styleId="Ttulo1">
    <w:name w:val="heading 1"/>
    <w:basedOn w:val="Normal"/>
    <w:next w:val="Normal"/>
    <w:qFormat/>
    <w:pPr>
      <w:spacing w:line="360" w:lineRule="exact"/>
      <w:outlineLvl w:val="0"/>
    </w:pPr>
    <w:rPr>
      <w:b/>
      <w:caps/>
      <w:noProof/>
    </w:rPr>
  </w:style>
  <w:style w:type="paragraph" w:styleId="Ttulo2">
    <w:name w:val="heading 2"/>
    <w:basedOn w:val="Normal"/>
    <w:next w:val="Normal"/>
    <w:link w:val="Ttulo2Char"/>
    <w:qFormat/>
    <w:pPr>
      <w:spacing w:line="360" w:lineRule="exact"/>
      <w:outlineLvl w:val="1"/>
    </w:pPr>
    <w:rPr>
      <w:b/>
    </w:rPr>
  </w:style>
  <w:style w:type="paragraph" w:styleId="Ttulo3">
    <w:name w:val="heading 3"/>
    <w:basedOn w:val="Normal"/>
    <w:next w:val="Normal"/>
    <w:qFormat/>
    <w:pPr>
      <w:spacing w:line="360" w:lineRule="exact"/>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jc w:val="right"/>
    </w:pPr>
  </w:style>
  <w:style w:type="character" w:styleId="Nmerodepgina">
    <w:name w:val="page number"/>
    <w:basedOn w:val="Fontepargpadro"/>
    <w:uiPriority w:val="99"/>
  </w:style>
  <w:style w:type="paragraph" w:styleId="Rodap">
    <w:name w:val="footer"/>
    <w:basedOn w:val="Normal"/>
    <w:pPr>
      <w:spacing w:line="1440" w:lineRule="auto"/>
    </w:pPr>
    <w:rPr>
      <w:sz w:val="14"/>
      <w:lang w:val="en-US"/>
    </w:rPr>
  </w:style>
  <w:style w:type="paragraph" w:styleId="Textodenotaderodap">
    <w:name w:val="footnote text"/>
    <w:basedOn w:val="Normal"/>
    <w:semiHidden/>
    <w:pPr>
      <w:tabs>
        <w:tab w:val="left" w:pos="284"/>
      </w:tabs>
      <w:ind w:left="284" w:hanging="284"/>
    </w:pPr>
    <w:rPr>
      <w:b/>
      <w:i/>
      <w:sz w:val="16"/>
      <w:lang w:val="en-US"/>
    </w:rPr>
  </w:style>
  <w:style w:type="character" w:customStyle="1" w:styleId="Ttulo2Char">
    <w:name w:val="Título 2 Char"/>
    <w:basedOn w:val="Fontepargpadro"/>
    <w:link w:val="Ttulo2"/>
    <w:rPr>
      <w:b/>
    </w:rPr>
  </w:style>
  <w:style w:type="paragraph" w:customStyle="1" w:styleId="Estilo">
    <w:name w:val="Estilo"/>
    <w:rsid w:val="00AA21EF"/>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table" w:styleId="Tabelacomgrade">
    <w:name w:val="Table Grid"/>
    <w:basedOn w:val="Tabelanormal"/>
    <w:rsid w:val="00AA21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A21EF"/>
    <w:pPr>
      <w:ind w:left="720"/>
      <w:contextualSpacing/>
    </w:pPr>
  </w:style>
  <w:style w:type="paragraph" w:customStyle="1" w:styleId="Body">
    <w:name w:val="Body"/>
    <w:basedOn w:val="Normal"/>
    <w:rsid w:val="00AA21EF"/>
    <w:pPr>
      <w:spacing w:beforeAutospacing="1" w:after="140" w:afterAutospacing="1" w:line="290" w:lineRule="auto"/>
    </w:pPr>
    <w:rPr>
      <w:rFonts w:eastAsiaTheme="minorHAnsi"/>
      <w:sz w:val="20"/>
      <w:szCs w:val="20"/>
      <w:lang w:eastAsia="en-US"/>
    </w:rPr>
  </w:style>
  <w:style w:type="paragraph" w:styleId="Corpodetexto">
    <w:name w:val="Body Text"/>
    <w:aliases w:val="body text,bt"/>
    <w:basedOn w:val="Normal"/>
    <w:next w:val="Normal"/>
    <w:link w:val="CorpodetextoChar"/>
    <w:rsid w:val="001B5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pPr>
    <w:rPr>
      <w:rFonts w:ascii="Tahoma" w:eastAsia="Times New Roman" w:hAnsi="Tahoma" w:cs="Tahoma"/>
      <w:sz w:val="24"/>
      <w:szCs w:val="24"/>
      <w:u w:color="000000" w:themeColor="text1"/>
    </w:rPr>
  </w:style>
  <w:style w:type="character" w:customStyle="1" w:styleId="CorpodetextoChar">
    <w:name w:val="Corpo de texto Char"/>
    <w:aliases w:val="body text Char,bt Char"/>
    <w:basedOn w:val="Fontepargpadro"/>
    <w:link w:val="Corpodetexto"/>
    <w:rsid w:val="001B5C69"/>
    <w:rPr>
      <w:rFonts w:ascii="Tahoma" w:eastAsia="Times New Roman" w:hAnsi="Tahoma" w:cs="Tahoma"/>
      <w:sz w:val="24"/>
      <w:szCs w:val="24"/>
      <w:u w:color="000000" w:themeColor="text1"/>
    </w:rPr>
  </w:style>
  <w:style w:type="paragraph" w:customStyle="1" w:styleId="Default">
    <w:name w:val="Default"/>
    <w:rsid w:val="002A06E6"/>
    <w:pPr>
      <w:autoSpaceDE w:val="0"/>
      <w:autoSpaceDN w:val="0"/>
      <w:adjustRightInd w:val="0"/>
      <w:spacing w:line="240" w:lineRule="auto"/>
      <w:jc w:val="left"/>
    </w:pPr>
    <w:rPr>
      <w:rFonts w:ascii="Times New Roman" w:eastAsia="Times New Roman" w:hAnsi="Times New Roman" w:cs="Times New Roman"/>
      <w:color w:val="000000"/>
      <w:sz w:val="24"/>
      <w:szCs w:val="24"/>
      <w:u w:color="000000" w:themeColor="text1"/>
    </w:rPr>
  </w:style>
  <w:style w:type="paragraph" w:styleId="Reviso">
    <w:name w:val="Revision"/>
    <w:hidden/>
    <w:uiPriority w:val="99"/>
    <w:semiHidden/>
    <w:rsid w:val="00B9649C"/>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 J U R _ S P ! 4 5 3 2 9 5 5 7 . 1 < / d o c u m e n t i d >  
     < s e n d e r i d > G L N < / s e n d e r i d >  
     < s e n d e r e m a i l > G F L O R N E R @ P N . C O M . B R < / s e n d e r e m a i l >  
     < l a s t m o d i f i e d > 2 0 2 2 - 0 9 - 2 7 T 1 8 : 1 1 : 0 0 . 0 0 0 0 0 0 0 - 0 3 : 0 0 < / l a s t m o d i f i e d >  
     < d a t a b a s e > J U R _ S P < / 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0B563324B0BB741BF0567D01DE8683C" ma:contentTypeVersion="16" ma:contentTypeDescription="Crie um novo documento." ma:contentTypeScope="" ma:versionID="23dd98135ed39d78b9915fdc829d2f4a">
  <xsd:schema xmlns:xsd="http://www.w3.org/2001/XMLSchema" xmlns:xs="http://www.w3.org/2001/XMLSchema" xmlns:p="http://schemas.microsoft.com/office/2006/metadata/properties" xmlns:ns2="97bde45f-cc7d-41af-9491-931ee5de9a4a" xmlns:ns3="06606979-7a8b-4fc5-830b-6267a9efc547" targetNamespace="http://schemas.microsoft.com/office/2006/metadata/properties" ma:root="true" ma:fieldsID="fbf72be940265a90c22ececf26e971c8" ns2:_="" ns3:_="">
    <xsd:import namespace="97bde45f-cc7d-41af-9491-931ee5de9a4a"/>
    <xsd:import namespace="06606979-7a8b-4fc5-830b-6267a9efc5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de45f-cc7d-41af-9491-931ee5de9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48aa4af3-e48f-48c9-b65a-774969decb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606979-7a8b-4fc5-830b-6267a9efc547"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da48e69c-cdbc-4554-b8e8-1ee7523ceb97}" ma:internalName="TaxCatchAll" ma:showField="CatchAllData" ma:web="06606979-7a8b-4fc5-830b-6267a9efc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BD085-8032-4E4F-BDC4-820321D2DA31}">
  <ds:schemaRefs>
    <ds:schemaRef ds:uri="http://www.imanage.com/work/xmlschema"/>
  </ds:schemaRefs>
</ds:datastoreItem>
</file>

<file path=customXml/itemProps2.xml><?xml version="1.0" encoding="utf-8"?>
<ds:datastoreItem xmlns:ds="http://schemas.openxmlformats.org/officeDocument/2006/customXml" ds:itemID="{1326FF66-5A5F-4A00-BB3E-3C586F05994C}">
  <ds:schemaRefs>
    <ds:schemaRef ds:uri="http://schemas.openxmlformats.org/officeDocument/2006/bibliography"/>
  </ds:schemaRefs>
</ds:datastoreItem>
</file>

<file path=customXml/itemProps3.xml><?xml version="1.0" encoding="utf-8"?>
<ds:datastoreItem xmlns:ds="http://schemas.openxmlformats.org/officeDocument/2006/customXml" ds:itemID="{6E381581-BD97-44C6-8CD7-E1F135165222}"/>
</file>

<file path=customXml/itemProps4.xml><?xml version="1.0" encoding="utf-8"?>
<ds:datastoreItem xmlns:ds="http://schemas.openxmlformats.org/officeDocument/2006/customXml" ds:itemID="{91CF3168-0D42-48E0-8908-ECD6EA43A7B5}"/>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7315</Characters>
  <Application>Microsoft Office Word</Application>
  <DocSecurity>0</DocSecurity>
  <Lines>182</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Pinheiro Neto Advogados</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Pinheiro Neto Advogados</dc:creator>
  <cp:keywords/>
  <dc:description/>
  <cp:lastModifiedBy>Pinheiro Neto Advogados</cp:lastModifiedBy>
  <cp:revision>4</cp:revision>
  <dcterms:created xsi:type="dcterms:W3CDTF">2022-09-28T19:29:00Z</dcterms:created>
  <dcterms:modified xsi:type="dcterms:W3CDTF">2022-09-28T19:55:00Z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JUR_SP - 45329557v1 - 1609025.489939</vt:lpwstr>
  </property>
</Properties>
</file>